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EB5E" w14:textId="0D810FB1" w:rsidR="00A63D1D" w:rsidRPr="0011239F" w:rsidRDefault="009A3C08" w:rsidP="005C0910">
      <w:pPr>
        <w:pStyle w:val="Heading1"/>
        <w:spacing w:before="480" w:after="480"/>
        <w:rPr>
          <w:rFonts w:cs="Arial"/>
        </w:rPr>
      </w:pPr>
      <w:bookmarkStart w:id="0" w:name="_GoBack"/>
      <w:bookmarkEnd w:id="0"/>
      <w:r w:rsidRPr="0011239F">
        <w:rPr>
          <w:rFonts w:cs="Arial"/>
        </w:rPr>
        <w:t>2</w:t>
      </w:r>
      <w:r w:rsidR="004D606F" w:rsidRPr="0011239F">
        <w:rPr>
          <w:rFonts w:cs="Arial"/>
        </w:rPr>
        <w:t xml:space="preserve">. </w:t>
      </w:r>
      <w:r w:rsidR="00FA09EC" w:rsidRPr="0011239F">
        <w:rPr>
          <w:rFonts w:cs="Arial"/>
        </w:rPr>
        <w:tab/>
      </w:r>
      <w:r w:rsidR="00D33D6D" w:rsidRPr="0011239F">
        <w:rPr>
          <w:rFonts w:cs="Arial"/>
        </w:rPr>
        <w:t>EDUCATION</w:t>
      </w:r>
      <w:r w:rsidR="00621ABC" w:rsidRPr="0011239F">
        <w:rPr>
          <w:rFonts w:cs="Arial"/>
        </w:rPr>
        <w:t xml:space="preserve"> </w:t>
      </w:r>
      <w:r w:rsidR="00A63D1D" w:rsidRPr="0011239F">
        <w:rPr>
          <w:rFonts w:cs="Arial"/>
        </w:rPr>
        <w:t>CLUSTER</w:t>
      </w:r>
    </w:p>
    <w:p w14:paraId="74043476" w14:textId="0A6949DE" w:rsidR="00A63D1D" w:rsidRPr="0011239F" w:rsidRDefault="00A63D1D" w:rsidP="00C36202">
      <w:pPr>
        <w:pStyle w:val="Heading2"/>
        <w:rPr>
          <w:rFonts w:ascii="Arial" w:hAnsi="Arial" w:cs="Arial"/>
        </w:rPr>
      </w:pPr>
      <w:bookmarkStart w:id="1" w:name="_Toc511769333"/>
      <w:r w:rsidRPr="0011239F">
        <w:rPr>
          <w:rFonts w:ascii="Arial" w:hAnsi="Arial" w:cs="Arial"/>
        </w:rPr>
        <w:t>Introduction</w:t>
      </w:r>
      <w:bookmarkEnd w:id="1"/>
    </w:p>
    <w:tbl>
      <w:tblPr>
        <w:tblpPr w:leftFromText="180" w:rightFromText="180" w:vertAnchor="text" w:horzAnchor="margin" w:tblpXSpec="right" w:tblpY="23"/>
        <w:tblW w:w="1692" w:type="pct"/>
        <w:shd w:val="clear" w:color="auto" w:fill="F2F2F2" w:themeFill="background1" w:themeFillShade="F2"/>
        <w:tblCellMar>
          <w:left w:w="115" w:type="dxa"/>
          <w:right w:w="115" w:type="dxa"/>
        </w:tblCellMar>
        <w:tblLook w:val="04A0" w:firstRow="1" w:lastRow="0" w:firstColumn="1" w:lastColumn="0" w:noHBand="0" w:noVBand="1"/>
      </w:tblPr>
      <w:tblGrid>
        <w:gridCol w:w="1086"/>
        <w:gridCol w:w="968"/>
        <w:gridCol w:w="1208"/>
      </w:tblGrid>
      <w:tr w:rsidR="001D4BC9" w:rsidRPr="0011239F" w14:paraId="3EEE1C17" w14:textId="77777777" w:rsidTr="00BB6376">
        <w:trPr>
          <w:cantSplit/>
          <w:trHeight w:val="1010"/>
        </w:trPr>
        <w:tc>
          <w:tcPr>
            <w:tcW w:w="1665" w:type="pct"/>
            <w:shd w:val="clear" w:color="auto" w:fill="F2F2F2" w:themeFill="background1" w:themeFillShade="F2"/>
            <w:vAlign w:val="center"/>
          </w:tcPr>
          <w:p w14:paraId="605D7F5D" w14:textId="77777777" w:rsidR="001D4BC9" w:rsidRPr="0011239F" w:rsidRDefault="00D122DC" w:rsidP="001D4BC9">
            <w:pPr>
              <w:spacing w:before="120" w:after="120"/>
              <w:rPr>
                <w:rFonts w:ascii="Arial" w:hAnsi="Arial" w:cs="Arial"/>
              </w:rPr>
            </w:pPr>
            <w:bookmarkStart w:id="2" w:name="_Hlk514514902"/>
            <w:r w:rsidRPr="0011239F">
              <w:rPr>
                <w:rFonts w:ascii="Arial" w:hAnsi="Arial" w:cs="Arial"/>
                <w:noProof/>
                <w:lang w:eastAsia="en-AU"/>
              </w:rPr>
              <w:drawing>
                <wp:inline distT="0" distB="0" distL="0" distR="0" wp14:anchorId="6084DAE0" wp14:editId="63CDA05C">
                  <wp:extent cx="518160" cy="518160"/>
                  <wp:effectExtent l="0" t="0" r="0" b="0"/>
                  <wp:docPr id="6" name="Picture 6"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484" w:type="pct"/>
            <w:shd w:val="clear" w:color="auto" w:fill="F2F2F2" w:themeFill="background1" w:themeFillShade="F2"/>
            <w:vAlign w:val="center"/>
          </w:tcPr>
          <w:p w14:paraId="7DEBED38" w14:textId="3AF4DE23" w:rsidR="001D4BC9" w:rsidRPr="0011239F" w:rsidRDefault="001D4BC9" w:rsidP="00B1009C">
            <w:pPr>
              <w:spacing w:before="120" w:after="120"/>
              <w:jc w:val="center"/>
              <w:rPr>
                <w:rFonts w:ascii="Arial" w:hAnsi="Arial" w:cs="Arial"/>
                <w:color w:val="00ABE6"/>
                <w:sz w:val="18"/>
                <w:szCs w:val="18"/>
              </w:rPr>
            </w:pPr>
            <w:r w:rsidRPr="0011239F">
              <w:rPr>
                <w:rFonts w:ascii="Arial" w:hAnsi="Arial" w:cs="Arial"/>
                <w:color w:val="00ABE6"/>
                <w:sz w:val="18"/>
                <w:szCs w:val="18"/>
              </w:rPr>
              <w:t>$</w:t>
            </w:r>
            <w:r w:rsidR="00011030">
              <w:rPr>
                <w:rFonts w:ascii="Arial" w:hAnsi="Arial" w:cs="Arial"/>
                <w:color w:val="00ABE6"/>
                <w:sz w:val="18"/>
                <w:szCs w:val="18"/>
              </w:rPr>
              <w:t>18.6</w:t>
            </w:r>
            <w:r w:rsidR="007C4D52" w:rsidRPr="0011239F">
              <w:rPr>
                <w:rFonts w:ascii="Arial" w:hAnsi="Arial" w:cs="Arial"/>
                <w:color w:val="00ABE6"/>
                <w:sz w:val="18"/>
                <w:szCs w:val="18"/>
              </w:rPr>
              <w:br/>
            </w:r>
            <w:r w:rsidRPr="0011239F">
              <w:rPr>
                <w:rFonts w:ascii="Arial" w:hAnsi="Arial" w:cs="Arial"/>
                <w:color w:val="00ABE6"/>
                <w:sz w:val="18"/>
                <w:szCs w:val="18"/>
              </w:rPr>
              <w:t>billion</w:t>
            </w:r>
          </w:p>
        </w:tc>
        <w:tc>
          <w:tcPr>
            <w:tcW w:w="1852" w:type="pct"/>
            <w:shd w:val="clear" w:color="auto" w:fill="F2F2F2" w:themeFill="background1" w:themeFillShade="F2"/>
            <w:vAlign w:val="center"/>
          </w:tcPr>
          <w:p w14:paraId="5EF886C3" w14:textId="77777777" w:rsidR="001D4BC9" w:rsidRPr="0011239F" w:rsidRDefault="001D4BC9" w:rsidP="001D4BC9">
            <w:pPr>
              <w:rPr>
                <w:rFonts w:ascii="Arial" w:hAnsi="Arial" w:cs="Arial"/>
                <w:color w:val="00ABE6"/>
                <w:sz w:val="18"/>
                <w:szCs w:val="18"/>
              </w:rPr>
            </w:pPr>
            <w:r w:rsidRPr="0011239F">
              <w:rPr>
                <w:rFonts w:ascii="Arial" w:hAnsi="Arial" w:cs="Arial"/>
                <w:color w:val="00ABE6"/>
                <w:sz w:val="18"/>
                <w:szCs w:val="18"/>
              </w:rPr>
              <w:t>Recurrent</w:t>
            </w:r>
          </w:p>
          <w:p w14:paraId="7F56C5C5" w14:textId="77777777" w:rsidR="001D4BC9" w:rsidRPr="0011239F" w:rsidRDefault="001D4BC9" w:rsidP="001D4BC9">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r>
            <w:r w:rsidR="006D4B0D" w:rsidRPr="0011239F">
              <w:rPr>
                <w:rFonts w:ascii="Arial" w:hAnsi="Arial" w:cs="Arial"/>
                <w:color w:val="00ABE6"/>
                <w:sz w:val="18"/>
                <w:szCs w:val="18"/>
              </w:rPr>
              <w:t>2019-20</w:t>
            </w:r>
          </w:p>
        </w:tc>
      </w:tr>
      <w:tr w:rsidR="001D4BC9" w:rsidRPr="0011239F" w14:paraId="5C328435" w14:textId="77777777" w:rsidTr="00BB6376">
        <w:trPr>
          <w:cantSplit/>
          <w:trHeight w:val="1010"/>
        </w:trPr>
        <w:tc>
          <w:tcPr>
            <w:tcW w:w="1665" w:type="pct"/>
            <w:shd w:val="clear" w:color="auto" w:fill="F2F2F2" w:themeFill="background1" w:themeFillShade="F2"/>
            <w:vAlign w:val="center"/>
          </w:tcPr>
          <w:p w14:paraId="4FB86C35" w14:textId="77777777" w:rsidR="001D4BC9" w:rsidRPr="0011239F" w:rsidRDefault="00D122DC" w:rsidP="001D4BC9">
            <w:pPr>
              <w:spacing w:before="120" w:after="120"/>
              <w:rPr>
                <w:rFonts w:ascii="Arial" w:hAnsi="Arial" w:cs="Arial"/>
                <w:noProof/>
                <w:lang w:eastAsia="en-AU"/>
              </w:rPr>
            </w:pPr>
            <w:r w:rsidRPr="0011239F">
              <w:rPr>
                <w:rFonts w:ascii="Arial" w:hAnsi="Arial" w:cs="Arial"/>
                <w:noProof/>
                <w:lang w:eastAsia="en-AU"/>
              </w:rPr>
              <w:drawing>
                <wp:inline distT="0" distB="0" distL="0" distR="0" wp14:anchorId="628DD338" wp14:editId="75ECF776">
                  <wp:extent cx="525145" cy="525145"/>
                  <wp:effectExtent l="0" t="0" r="8255" b="8255"/>
                  <wp:docPr id="2" name="Picture 2"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484" w:type="pct"/>
            <w:shd w:val="clear" w:color="auto" w:fill="F2F2F2" w:themeFill="background1" w:themeFillShade="F2"/>
            <w:vAlign w:val="center"/>
          </w:tcPr>
          <w:p w14:paraId="711BFC86" w14:textId="717E8AEE" w:rsidR="001D4BC9" w:rsidRPr="0011239F" w:rsidRDefault="00F94AEE" w:rsidP="00B1009C">
            <w:pPr>
              <w:spacing w:before="120" w:after="120"/>
              <w:jc w:val="center"/>
              <w:rPr>
                <w:rFonts w:ascii="Arial" w:hAnsi="Arial" w:cs="Arial"/>
                <w:color w:val="00ABE6"/>
                <w:sz w:val="18"/>
                <w:szCs w:val="18"/>
              </w:rPr>
            </w:pPr>
            <w:r w:rsidRPr="0011239F">
              <w:rPr>
                <w:rFonts w:ascii="Arial" w:hAnsi="Arial" w:cs="Arial"/>
                <w:color w:val="00ABE6"/>
                <w:sz w:val="18"/>
                <w:szCs w:val="18"/>
              </w:rPr>
              <w:t>$</w:t>
            </w:r>
            <w:r w:rsidR="00794DB1" w:rsidRPr="0011239F">
              <w:rPr>
                <w:rFonts w:ascii="Arial" w:hAnsi="Arial" w:cs="Arial"/>
                <w:color w:val="00ABE6"/>
                <w:sz w:val="18"/>
                <w:szCs w:val="18"/>
              </w:rPr>
              <w:t>2.</w:t>
            </w:r>
            <w:r w:rsidR="0032650A" w:rsidRPr="0011239F">
              <w:rPr>
                <w:rFonts w:ascii="Arial" w:hAnsi="Arial" w:cs="Arial"/>
                <w:color w:val="00ABE6"/>
                <w:sz w:val="18"/>
                <w:szCs w:val="18"/>
              </w:rPr>
              <w:t>4</w:t>
            </w:r>
            <w:r w:rsidRPr="0011239F" w:rsidDel="00F94AEE">
              <w:rPr>
                <w:rFonts w:ascii="Arial" w:hAnsi="Arial" w:cs="Arial"/>
                <w:color w:val="00ABE6"/>
                <w:sz w:val="18"/>
                <w:szCs w:val="18"/>
                <w:highlight w:val="yellow"/>
              </w:rPr>
              <w:t xml:space="preserve"> </w:t>
            </w:r>
            <w:r w:rsidR="001D4BC9" w:rsidRPr="0011239F">
              <w:rPr>
                <w:rFonts w:ascii="Arial" w:hAnsi="Arial" w:cs="Arial"/>
                <w:color w:val="00ABE6"/>
                <w:sz w:val="18"/>
                <w:szCs w:val="18"/>
              </w:rPr>
              <w:br/>
              <w:t>billion</w:t>
            </w:r>
          </w:p>
        </w:tc>
        <w:tc>
          <w:tcPr>
            <w:tcW w:w="1852" w:type="pct"/>
            <w:shd w:val="clear" w:color="auto" w:fill="F2F2F2" w:themeFill="background1" w:themeFillShade="F2"/>
            <w:vAlign w:val="center"/>
          </w:tcPr>
          <w:p w14:paraId="59B3A7A0" w14:textId="77777777" w:rsidR="001D4BC9" w:rsidRPr="0011239F" w:rsidRDefault="001D4BC9" w:rsidP="001D4BC9">
            <w:pPr>
              <w:rPr>
                <w:rFonts w:ascii="Arial" w:hAnsi="Arial" w:cs="Arial"/>
                <w:color w:val="00ABE6"/>
                <w:sz w:val="18"/>
                <w:szCs w:val="18"/>
              </w:rPr>
            </w:pPr>
            <w:r w:rsidRPr="0011239F">
              <w:rPr>
                <w:rFonts w:ascii="Arial" w:hAnsi="Arial" w:cs="Arial"/>
                <w:color w:val="00ABE6"/>
                <w:sz w:val="18"/>
                <w:szCs w:val="18"/>
              </w:rPr>
              <w:t xml:space="preserve">Capital </w:t>
            </w:r>
            <w:r w:rsidR="005073C0" w:rsidRPr="0011239F">
              <w:rPr>
                <w:rFonts w:ascii="Arial" w:hAnsi="Arial" w:cs="Arial"/>
                <w:color w:val="00ABE6"/>
                <w:sz w:val="18"/>
                <w:szCs w:val="18"/>
              </w:rPr>
              <w:br/>
            </w:r>
            <w:r w:rsidRPr="0011239F">
              <w:rPr>
                <w:rFonts w:ascii="Arial" w:hAnsi="Arial" w:cs="Arial"/>
                <w:color w:val="00ABE6"/>
                <w:sz w:val="18"/>
                <w:szCs w:val="18"/>
              </w:rPr>
              <w:t xml:space="preserve">Expenditure </w:t>
            </w:r>
            <w:r w:rsidR="006D4B0D" w:rsidRPr="0011239F">
              <w:rPr>
                <w:rFonts w:ascii="Arial" w:hAnsi="Arial" w:cs="Arial"/>
                <w:color w:val="00ABE6"/>
                <w:sz w:val="18"/>
                <w:szCs w:val="18"/>
              </w:rPr>
              <w:t>2019-20</w:t>
            </w:r>
          </w:p>
        </w:tc>
      </w:tr>
    </w:tbl>
    <w:p w14:paraId="5583FF83" w14:textId="3A832C2B" w:rsidR="008D5BCC" w:rsidRPr="0011239F" w:rsidRDefault="008D5BCC" w:rsidP="00E27C10">
      <w:pPr>
        <w:pStyle w:val="BodyText"/>
        <w:rPr>
          <w:rFonts w:eastAsiaTheme="minorHAnsi"/>
        </w:rPr>
      </w:pPr>
      <w:bookmarkStart w:id="3" w:name="_Hlk515375251"/>
      <w:bookmarkEnd w:id="2"/>
      <w:r w:rsidRPr="0011239F">
        <w:rPr>
          <w:lang w:eastAsia="zh-TW"/>
        </w:rPr>
        <w:t xml:space="preserve">The Education cluster delivers and regulates education </w:t>
      </w:r>
      <w:r w:rsidR="0005622F" w:rsidRPr="0011239F">
        <w:rPr>
          <w:lang w:eastAsia="zh-TW"/>
        </w:rPr>
        <w:t xml:space="preserve">and training </w:t>
      </w:r>
      <w:r w:rsidRPr="0011239F">
        <w:rPr>
          <w:lang w:eastAsia="zh-TW"/>
        </w:rPr>
        <w:t xml:space="preserve">services for </w:t>
      </w:r>
      <w:r w:rsidR="00C445D8" w:rsidRPr="0011239F">
        <w:rPr>
          <w:lang w:eastAsia="zh-TW"/>
        </w:rPr>
        <w:t>NSW</w:t>
      </w:r>
      <w:r w:rsidRPr="0011239F">
        <w:rPr>
          <w:lang w:eastAsia="zh-TW"/>
        </w:rPr>
        <w:t xml:space="preserve"> students</w:t>
      </w:r>
      <w:r w:rsidR="0020737A" w:rsidRPr="0011239F">
        <w:rPr>
          <w:lang w:eastAsia="zh-TW"/>
        </w:rPr>
        <w:t>, workers</w:t>
      </w:r>
      <w:r w:rsidR="0005622F" w:rsidRPr="0011239F">
        <w:rPr>
          <w:lang w:eastAsia="zh-TW"/>
        </w:rPr>
        <w:t xml:space="preserve"> and industry</w:t>
      </w:r>
      <w:r w:rsidRPr="0011239F">
        <w:rPr>
          <w:lang w:eastAsia="zh-TW"/>
        </w:rPr>
        <w:t xml:space="preserve">. This includes the early childhood education and care sector, </w:t>
      </w:r>
      <w:r w:rsidR="002C26BF" w:rsidRPr="0011239F">
        <w:rPr>
          <w:lang w:eastAsia="zh-TW"/>
        </w:rPr>
        <w:t>government and non-government schools</w:t>
      </w:r>
      <w:r w:rsidRPr="0011239F">
        <w:rPr>
          <w:lang w:eastAsia="zh-TW"/>
        </w:rPr>
        <w:t xml:space="preserve">, and the vocational education and training sector. </w:t>
      </w:r>
    </w:p>
    <w:p w14:paraId="215B85B5" w14:textId="474770B9" w:rsidR="00AB404E" w:rsidRPr="0011239F" w:rsidRDefault="00F223EB" w:rsidP="00E27C10">
      <w:pPr>
        <w:pStyle w:val="Heading3"/>
        <w:spacing w:before="360"/>
        <w:rPr>
          <w:rFonts w:cs="Arial"/>
        </w:rPr>
      </w:pPr>
      <w:r w:rsidRPr="0011239F">
        <w:rPr>
          <w:rFonts w:cs="Arial"/>
        </w:rPr>
        <w:t xml:space="preserve">Contribution to </w:t>
      </w:r>
      <w:r w:rsidR="00917FF4" w:rsidRPr="0011239F">
        <w:rPr>
          <w:rFonts w:cs="Arial"/>
        </w:rPr>
        <w:t xml:space="preserve">the Government’s </w:t>
      </w:r>
      <w:r w:rsidR="00C45117" w:rsidRPr="0011239F">
        <w:rPr>
          <w:rFonts w:cs="Arial"/>
        </w:rPr>
        <w:t>P</w:t>
      </w:r>
      <w:r w:rsidR="00917FF4" w:rsidRPr="0011239F">
        <w:rPr>
          <w:rFonts w:cs="Arial"/>
        </w:rPr>
        <w:t>riorities</w:t>
      </w:r>
    </w:p>
    <w:p w14:paraId="6B028F6F" w14:textId="33B4B006" w:rsidR="003347AC" w:rsidRPr="0011239F" w:rsidRDefault="0023406E" w:rsidP="00E27C10">
      <w:pPr>
        <w:pStyle w:val="BodyText"/>
      </w:pPr>
      <w:bookmarkStart w:id="4" w:name="_Hlk9345388"/>
      <w:r w:rsidRPr="0011239F">
        <w:rPr>
          <w:lang w:eastAsia="zh-TW"/>
        </w:rPr>
        <w:t xml:space="preserve">The Education cluster </w:t>
      </w:r>
      <w:r w:rsidR="00C445D8" w:rsidRPr="0011239F">
        <w:t>contribute</w:t>
      </w:r>
      <w:r w:rsidR="009941F7" w:rsidRPr="0011239F">
        <w:t>s</w:t>
      </w:r>
      <w:r w:rsidR="00C445D8" w:rsidRPr="0011239F">
        <w:t xml:space="preserve"> to delivering the</w:t>
      </w:r>
      <w:r w:rsidR="003347AC" w:rsidRPr="0011239F">
        <w:t xml:space="preserve"> following</w:t>
      </w:r>
      <w:r w:rsidR="00C445D8" w:rsidRPr="0011239F">
        <w:t xml:space="preserve"> Government priority</w:t>
      </w:r>
      <w:r w:rsidR="003347AC" w:rsidRPr="0011239F">
        <w:t>:</w:t>
      </w:r>
      <w:r w:rsidR="00C445D8" w:rsidRPr="0011239F">
        <w:t xml:space="preserve"> </w:t>
      </w:r>
    </w:p>
    <w:p w14:paraId="4D4F72CC" w14:textId="1C2600BC" w:rsidR="0023406E" w:rsidRPr="0011239F" w:rsidRDefault="00C445D8">
      <w:pPr>
        <w:pStyle w:val="Bullet1"/>
      </w:pPr>
      <w:r w:rsidRPr="0011239F">
        <w:t>Highest quality education no matter where you live or what your circumstances may be</w:t>
      </w:r>
      <w:bookmarkEnd w:id="4"/>
      <w:r w:rsidRPr="0011239F">
        <w:t>.</w:t>
      </w:r>
    </w:p>
    <w:p w14:paraId="40A4E79A" w14:textId="62EA5834" w:rsidR="00B97865" w:rsidRPr="0011239F" w:rsidRDefault="00001D87" w:rsidP="00E27C10">
      <w:pPr>
        <w:pStyle w:val="Heading3"/>
        <w:rPr>
          <w:rFonts w:cs="Arial"/>
        </w:rPr>
      </w:pPr>
      <w:r w:rsidRPr="0011239F">
        <w:rPr>
          <w:rFonts w:cs="Arial"/>
        </w:rPr>
        <w:t xml:space="preserve">State Outcomes </w:t>
      </w:r>
      <w:r w:rsidR="00636FAE" w:rsidRPr="0011239F">
        <w:rPr>
          <w:rFonts w:cs="Arial"/>
        </w:rPr>
        <w:t xml:space="preserve">to be </w:t>
      </w:r>
      <w:r w:rsidRPr="0011239F">
        <w:rPr>
          <w:rFonts w:cs="Arial"/>
        </w:rPr>
        <w:t>delivered by the Education cluster</w:t>
      </w:r>
      <w:bookmarkEnd w:id="3"/>
    </w:p>
    <w:tbl>
      <w:tblPr>
        <w:tblW w:w="9639" w:type="dxa"/>
        <w:shd w:val="clear" w:color="auto" w:fill="0A7CB9"/>
        <w:tblLook w:val="04A0" w:firstRow="1" w:lastRow="0" w:firstColumn="1" w:lastColumn="0" w:noHBand="0" w:noVBand="1"/>
        <w:tblCaption w:val="State Outcomes to be delivered by the Education cluster"/>
        <w:tblDescription w:val="State Outcomes to be delivered by the Education cluster"/>
      </w:tblPr>
      <w:tblGrid>
        <w:gridCol w:w="3934"/>
        <w:gridCol w:w="222"/>
        <w:gridCol w:w="5483"/>
      </w:tblGrid>
      <w:tr w:rsidR="004F58D4" w:rsidRPr="0011239F" w14:paraId="5AD09C5B" w14:textId="77777777" w:rsidTr="00A62927">
        <w:trPr>
          <w:trHeight w:val="464"/>
        </w:trPr>
        <w:tc>
          <w:tcPr>
            <w:tcW w:w="3934" w:type="dxa"/>
            <w:shd w:val="clear" w:color="auto" w:fill="002664"/>
            <w:vAlign w:val="center"/>
            <w:hideMark/>
          </w:tcPr>
          <w:p w14:paraId="3B32DB9D" w14:textId="77777777" w:rsidR="004F58D4" w:rsidRPr="0011239F" w:rsidRDefault="00347048" w:rsidP="004F58D4">
            <w:pPr>
              <w:jc w:val="center"/>
              <w:rPr>
                <w:rFonts w:ascii="Arial" w:hAnsi="Arial" w:cs="Arial"/>
                <w:b/>
                <w:bCs/>
                <w:color w:val="FFFFFF"/>
                <w:sz w:val="22"/>
                <w:szCs w:val="22"/>
              </w:rPr>
            </w:pPr>
            <w:bookmarkStart w:id="5" w:name="_Hlk514693442"/>
            <w:bookmarkStart w:id="6" w:name="_Hlk514697968"/>
            <w:r w:rsidRPr="0011239F">
              <w:rPr>
                <w:rFonts w:ascii="Arial" w:hAnsi="Arial" w:cs="Arial"/>
                <w:b/>
                <w:bCs/>
                <w:color w:val="FFFFFF"/>
                <w:sz w:val="22"/>
                <w:szCs w:val="22"/>
              </w:rPr>
              <w:t>State Outcome</w:t>
            </w:r>
          </w:p>
        </w:tc>
        <w:tc>
          <w:tcPr>
            <w:tcW w:w="222" w:type="dxa"/>
            <w:shd w:val="clear" w:color="auto" w:fill="auto"/>
            <w:vAlign w:val="center"/>
            <w:hideMark/>
          </w:tcPr>
          <w:p w14:paraId="291FE490" w14:textId="77777777" w:rsidR="004F58D4" w:rsidRPr="0011239F" w:rsidRDefault="004F58D4" w:rsidP="004F58D4">
            <w:pPr>
              <w:ind w:left="-673"/>
              <w:jc w:val="center"/>
              <w:rPr>
                <w:rFonts w:ascii="Arial" w:hAnsi="Arial" w:cs="Arial"/>
                <w:b/>
                <w:bCs/>
                <w:color w:val="FFFFFF"/>
                <w:sz w:val="2"/>
                <w:szCs w:val="2"/>
              </w:rPr>
            </w:pPr>
          </w:p>
          <w:p w14:paraId="47902993" w14:textId="77777777" w:rsidR="004F58D4" w:rsidRPr="0011239F" w:rsidRDefault="004F58D4" w:rsidP="004F58D4">
            <w:pPr>
              <w:ind w:left="-673"/>
              <w:jc w:val="center"/>
              <w:rPr>
                <w:rFonts w:ascii="Arial" w:hAnsi="Arial" w:cs="Arial"/>
                <w:b/>
                <w:bCs/>
                <w:color w:val="FFFFFF"/>
                <w:sz w:val="2"/>
                <w:szCs w:val="2"/>
              </w:rPr>
            </w:pPr>
          </w:p>
        </w:tc>
        <w:tc>
          <w:tcPr>
            <w:tcW w:w="5483" w:type="dxa"/>
            <w:shd w:val="clear" w:color="auto" w:fill="002664"/>
            <w:vAlign w:val="center"/>
            <w:hideMark/>
          </w:tcPr>
          <w:p w14:paraId="0097CE43" w14:textId="77777777" w:rsidR="004F58D4" w:rsidRPr="0011239F" w:rsidRDefault="00347048" w:rsidP="004F58D4">
            <w:pPr>
              <w:jc w:val="center"/>
              <w:rPr>
                <w:rFonts w:ascii="Arial" w:hAnsi="Arial" w:cs="Arial"/>
                <w:b/>
                <w:bCs/>
                <w:color w:val="FFFFFF"/>
                <w:sz w:val="22"/>
                <w:szCs w:val="22"/>
              </w:rPr>
            </w:pPr>
            <w:r w:rsidRPr="0011239F">
              <w:rPr>
                <w:rFonts w:ascii="Arial" w:hAnsi="Arial" w:cs="Arial"/>
                <w:b/>
                <w:bCs/>
                <w:color w:val="FFFFFF"/>
                <w:sz w:val="22"/>
                <w:szCs w:val="22"/>
              </w:rPr>
              <w:t>Description</w:t>
            </w:r>
          </w:p>
        </w:tc>
      </w:tr>
      <w:tr w:rsidR="004F58D4" w:rsidRPr="0011239F" w14:paraId="066B44AB" w14:textId="77777777" w:rsidTr="009D302A">
        <w:trPr>
          <w:trHeight w:val="45"/>
        </w:trPr>
        <w:tc>
          <w:tcPr>
            <w:tcW w:w="3934" w:type="dxa"/>
            <w:shd w:val="clear" w:color="auto" w:fill="auto"/>
            <w:hideMark/>
          </w:tcPr>
          <w:p w14:paraId="100B3BDC" w14:textId="77777777" w:rsidR="004F58D4" w:rsidRPr="0011239F" w:rsidRDefault="004F58D4" w:rsidP="004F58D4">
            <w:pPr>
              <w:jc w:val="center"/>
              <w:rPr>
                <w:rFonts w:ascii="Arial" w:hAnsi="Arial" w:cs="Arial"/>
                <w:b/>
                <w:bCs/>
                <w:color w:val="FFFFFF"/>
                <w:sz w:val="8"/>
                <w:szCs w:val="22"/>
              </w:rPr>
            </w:pPr>
          </w:p>
        </w:tc>
        <w:tc>
          <w:tcPr>
            <w:tcW w:w="222" w:type="dxa"/>
            <w:shd w:val="clear" w:color="auto" w:fill="auto"/>
            <w:vAlign w:val="center"/>
            <w:hideMark/>
          </w:tcPr>
          <w:p w14:paraId="1A041BF9" w14:textId="77777777" w:rsidR="004F58D4" w:rsidRPr="0011239F" w:rsidRDefault="004F58D4" w:rsidP="004F58D4">
            <w:pPr>
              <w:ind w:left="-673"/>
              <w:jc w:val="center"/>
              <w:rPr>
                <w:rFonts w:ascii="Arial" w:hAnsi="Arial" w:cs="Arial"/>
                <w:sz w:val="2"/>
                <w:szCs w:val="2"/>
              </w:rPr>
            </w:pPr>
          </w:p>
        </w:tc>
        <w:tc>
          <w:tcPr>
            <w:tcW w:w="5483" w:type="dxa"/>
            <w:tcBorders>
              <w:bottom w:val="single" w:sz="4" w:space="0" w:color="A6A6A6" w:themeColor="background1" w:themeShade="A6"/>
            </w:tcBorders>
            <w:shd w:val="clear" w:color="auto" w:fill="auto"/>
            <w:vAlign w:val="center"/>
            <w:hideMark/>
          </w:tcPr>
          <w:p w14:paraId="2AB1EA03" w14:textId="77777777" w:rsidR="004F58D4" w:rsidRPr="0011239F" w:rsidRDefault="004F58D4" w:rsidP="004F58D4">
            <w:pPr>
              <w:rPr>
                <w:rFonts w:ascii="Arial" w:hAnsi="Arial" w:cs="Arial"/>
                <w:sz w:val="8"/>
                <w:szCs w:val="22"/>
              </w:rPr>
            </w:pPr>
          </w:p>
        </w:tc>
      </w:tr>
      <w:bookmarkEnd w:id="5"/>
      <w:tr w:rsidR="00F41A33" w:rsidRPr="0011239F" w14:paraId="235E3F74" w14:textId="77777777" w:rsidTr="00A62927">
        <w:trPr>
          <w:trHeight w:val="934"/>
        </w:trPr>
        <w:tc>
          <w:tcPr>
            <w:tcW w:w="3934" w:type="dxa"/>
            <w:shd w:val="clear" w:color="auto" w:fill="BAE4FC"/>
            <w:vAlign w:val="center"/>
          </w:tcPr>
          <w:p w14:paraId="5C3603D9" w14:textId="77777777" w:rsidR="00F41A33" w:rsidRPr="0011239F" w:rsidRDefault="00F41A33" w:rsidP="00F41A33">
            <w:pPr>
              <w:jc w:val="center"/>
              <w:rPr>
                <w:rFonts w:ascii="Arial" w:hAnsi="Arial" w:cs="Arial"/>
              </w:rPr>
            </w:pPr>
            <w:r w:rsidRPr="0011239F">
              <w:rPr>
                <w:rFonts w:ascii="Arial" w:hAnsi="Arial" w:cs="Arial"/>
                <w:bCs/>
              </w:rPr>
              <w:t>Educational foundations for success</w:t>
            </w:r>
          </w:p>
        </w:tc>
        <w:tc>
          <w:tcPr>
            <w:tcW w:w="222" w:type="dxa"/>
            <w:tcBorders>
              <w:right w:val="single" w:sz="4" w:space="0" w:color="A6A6A6" w:themeColor="background1" w:themeShade="A6"/>
            </w:tcBorders>
            <w:shd w:val="clear" w:color="auto" w:fill="auto"/>
            <w:vAlign w:val="center"/>
          </w:tcPr>
          <w:p w14:paraId="1F3E90B9" w14:textId="77777777" w:rsidR="00F41A33" w:rsidRPr="0011239F" w:rsidRDefault="00F41A33" w:rsidP="00F41A33">
            <w:pPr>
              <w:ind w:left="-673"/>
              <w:jc w:val="center"/>
              <w:rPr>
                <w:rFonts w:ascii="Arial" w:hAnsi="Arial" w:cs="Arial"/>
                <w:b/>
                <w:bCs/>
                <w:color w:val="FFFFFF"/>
              </w:rPr>
            </w:pPr>
          </w:p>
        </w:tc>
        <w:tc>
          <w:tcPr>
            <w:tcW w:w="54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42CA78" w14:textId="350D2ADC" w:rsidR="00F41A33" w:rsidRPr="0011239F" w:rsidRDefault="00F41A33" w:rsidP="009C2428">
            <w:pPr>
              <w:spacing w:before="120" w:after="120"/>
              <w:rPr>
                <w:rFonts w:ascii="Arial" w:hAnsi="Arial" w:cs="Arial"/>
              </w:rPr>
            </w:pPr>
            <w:r w:rsidRPr="0011239F">
              <w:rPr>
                <w:rFonts w:ascii="Arial" w:hAnsi="Arial" w:cs="Arial"/>
              </w:rPr>
              <w:t>Providing a high standard of education for children and young people th</w:t>
            </w:r>
            <w:r w:rsidR="00E67C24" w:rsidRPr="0011239F">
              <w:rPr>
                <w:rFonts w:ascii="Arial" w:hAnsi="Arial" w:cs="Arial"/>
              </w:rPr>
              <w:t>r</w:t>
            </w:r>
            <w:r w:rsidRPr="0011239F">
              <w:rPr>
                <w:rFonts w:ascii="Arial" w:hAnsi="Arial" w:cs="Arial"/>
              </w:rPr>
              <w:t>ough the State’s public</w:t>
            </w:r>
            <w:r w:rsidR="008E54ED" w:rsidRPr="0011239F">
              <w:rPr>
                <w:rFonts w:ascii="Arial" w:hAnsi="Arial" w:cs="Arial"/>
              </w:rPr>
              <w:t xml:space="preserve"> </w:t>
            </w:r>
            <w:r w:rsidRPr="0011239F">
              <w:rPr>
                <w:rFonts w:ascii="Arial" w:hAnsi="Arial" w:cs="Arial"/>
              </w:rPr>
              <w:t xml:space="preserve">school </w:t>
            </w:r>
            <w:proofErr w:type="gramStart"/>
            <w:r w:rsidRPr="0011239F">
              <w:rPr>
                <w:rFonts w:ascii="Arial" w:hAnsi="Arial" w:cs="Arial"/>
              </w:rPr>
              <w:t>system, and</w:t>
            </w:r>
            <w:proofErr w:type="gramEnd"/>
            <w:r w:rsidRPr="0011239F">
              <w:rPr>
                <w:rFonts w:ascii="Arial" w:hAnsi="Arial" w:cs="Arial"/>
              </w:rPr>
              <w:t xml:space="preserve"> providing support to non-government schools.</w:t>
            </w:r>
          </w:p>
        </w:tc>
      </w:tr>
      <w:tr w:rsidR="00F41A33" w:rsidRPr="0011239F" w14:paraId="3B273DCD" w14:textId="77777777" w:rsidTr="009D302A">
        <w:trPr>
          <w:trHeight w:val="58"/>
        </w:trPr>
        <w:tc>
          <w:tcPr>
            <w:tcW w:w="3934" w:type="dxa"/>
            <w:shd w:val="clear" w:color="auto" w:fill="auto"/>
            <w:noWrap/>
            <w:vAlign w:val="center"/>
          </w:tcPr>
          <w:p w14:paraId="71B50128" w14:textId="77777777" w:rsidR="00F41A33" w:rsidRPr="0011239F" w:rsidRDefault="00F41A33" w:rsidP="00F41A33">
            <w:pPr>
              <w:jc w:val="center"/>
              <w:rPr>
                <w:rFonts w:ascii="Arial" w:hAnsi="Arial" w:cs="Arial"/>
                <w:color w:val="000000"/>
                <w:sz w:val="6"/>
                <w:szCs w:val="6"/>
              </w:rPr>
            </w:pPr>
          </w:p>
        </w:tc>
        <w:tc>
          <w:tcPr>
            <w:tcW w:w="222" w:type="dxa"/>
            <w:shd w:val="clear" w:color="auto" w:fill="auto"/>
            <w:noWrap/>
            <w:vAlign w:val="bottom"/>
          </w:tcPr>
          <w:p w14:paraId="47FA4854" w14:textId="77777777" w:rsidR="00F41A33" w:rsidRPr="0011239F" w:rsidRDefault="00F41A33" w:rsidP="00F41A33">
            <w:pPr>
              <w:ind w:left="-673"/>
              <w:jc w:val="center"/>
              <w:rPr>
                <w:rFonts w:ascii="Arial" w:hAnsi="Arial" w:cs="Arial"/>
                <w:sz w:val="6"/>
                <w:szCs w:val="6"/>
              </w:rPr>
            </w:pPr>
          </w:p>
        </w:tc>
        <w:tc>
          <w:tcPr>
            <w:tcW w:w="5483" w:type="dxa"/>
            <w:tcBorders>
              <w:top w:val="single" w:sz="4" w:space="0" w:color="A6A6A6" w:themeColor="background1" w:themeShade="A6"/>
              <w:bottom w:val="single" w:sz="4" w:space="0" w:color="A6A6A6" w:themeColor="background1" w:themeShade="A6"/>
            </w:tcBorders>
            <w:shd w:val="clear" w:color="auto" w:fill="auto"/>
            <w:noWrap/>
            <w:vAlign w:val="center"/>
          </w:tcPr>
          <w:p w14:paraId="67B58E76" w14:textId="77777777" w:rsidR="00F41A33" w:rsidRPr="0011239F" w:rsidRDefault="00F41A33" w:rsidP="00F41A33">
            <w:pPr>
              <w:rPr>
                <w:rFonts w:ascii="Arial" w:hAnsi="Arial" w:cs="Arial"/>
                <w:sz w:val="6"/>
                <w:szCs w:val="6"/>
              </w:rPr>
            </w:pPr>
          </w:p>
        </w:tc>
      </w:tr>
      <w:tr w:rsidR="00F41A33" w:rsidRPr="0011239F" w14:paraId="107C559B" w14:textId="77777777" w:rsidTr="001E0D54">
        <w:trPr>
          <w:trHeight w:val="813"/>
        </w:trPr>
        <w:tc>
          <w:tcPr>
            <w:tcW w:w="3934" w:type="dxa"/>
            <w:shd w:val="clear" w:color="auto" w:fill="EBF7FE"/>
            <w:vAlign w:val="center"/>
          </w:tcPr>
          <w:p w14:paraId="6B7AC1C1" w14:textId="77777777" w:rsidR="00F41A33" w:rsidRPr="0011239F" w:rsidRDefault="00F41A33" w:rsidP="00F41A33">
            <w:pPr>
              <w:jc w:val="center"/>
              <w:rPr>
                <w:rFonts w:ascii="Arial" w:hAnsi="Arial" w:cs="Arial"/>
                <w:bCs/>
              </w:rPr>
            </w:pPr>
            <w:r w:rsidRPr="0011239F">
              <w:rPr>
                <w:rFonts w:ascii="Arial" w:hAnsi="Arial" w:cs="Arial"/>
                <w:bCs/>
              </w:rPr>
              <w:t>Best start in life for young children</w:t>
            </w:r>
          </w:p>
        </w:tc>
        <w:tc>
          <w:tcPr>
            <w:tcW w:w="222" w:type="dxa"/>
            <w:tcBorders>
              <w:right w:val="single" w:sz="4" w:space="0" w:color="A6A6A6" w:themeColor="background1" w:themeShade="A6"/>
            </w:tcBorders>
            <w:shd w:val="clear" w:color="auto" w:fill="auto"/>
            <w:noWrap/>
            <w:vAlign w:val="center"/>
          </w:tcPr>
          <w:p w14:paraId="5F67F29C" w14:textId="77777777" w:rsidR="00F41A33" w:rsidRPr="0011239F" w:rsidRDefault="00F41A33" w:rsidP="00F41A33">
            <w:pPr>
              <w:spacing w:after="280"/>
              <w:ind w:left="-673"/>
              <w:jc w:val="center"/>
              <w:rPr>
                <w:rFonts w:ascii="Arial" w:hAnsi="Arial" w:cs="Arial"/>
                <w:b/>
                <w:bCs/>
                <w:color w:val="FFFFFF"/>
              </w:rPr>
            </w:pPr>
          </w:p>
        </w:tc>
        <w:tc>
          <w:tcPr>
            <w:tcW w:w="54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1D34149" w14:textId="370BBAE3" w:rsidR="00F41A33" w:rsidRPr="0011239F" w:rsidRDefault="00F41A33" w:rsidP="009C2428">
            <w:pPr>
              <w:spacing w:before="120" w:after="120"/>
              <w:rPr>
                <w:rFonts w:ascii="Arial" w:hAnsi="Arial" w:cs="Arial"/>
              </w:rPr>
            </w:pPr>
            <w:r w:rsidRPr="0011239F">
              <w:rPr>
                <w:rFonts w:ascii="Arial" w:hAnsi="Arial" w:cs="Arial"/>
              </w:rPr>
              <w:t>Regulating and overseeing the delivery of accessible and high</w:t>
            </w:r>
            <w:r w:rsidR="00C445D8" w:rsidRPr="0011239F">
              <w:rPr>
                <w:rFonts w:ascii="Arial" w:hAnsi="Arial" w:cs="Arial"/>
              </w:rPr>
              <w:t>-</w:t>
            </w:r>
            <w:r w:rsidRPr="0011239F">
              <w:rPr>
                <w:rFonts w:ascii="Arial" w:hAnsi="Arial" w:cs="Arial"/>
              </w:rPr>
              <w:t>quality early childhood education services. </w:t>
            </w:r>
          </w:p>
        </w:tc>
      </w:tr>
      <w:tr w:rsidR="00F41A33" w:rsidRPr="0011239F" w14:paraId="3A13526E" w14:textId="77777777" w:rsidTr="009D302A">
        <w:trPr>
          <w:trHeight w:val="45"/>
        </w:trPr>
        <w:tc>
          <w:tcPr>
            <w:tcW w:w="3934" w:type="dxa"/>
            <w:shd w:val="clear" w:color="auto" w:fill="auto"/>
            <w:vAlign w:val="center"/>
          </w:tcPr>
          <w:p w14:paraId="0CECC4BF" w14:textId="77777777" w:rsidR="00F41A33" w:rsidRPr="0011239F" w:rsidRDefault="00F41A33" w:rsidP="00F41A33">
            <w:pPr>
              <w:jc w:val="center"/>
              <w:rPr>
                <w:rFonts w:ascii="Arial" w:hAnsi="Arial" w:cs="Arial"/>
                <w:color w:val="000000"/>
                <w:sz w:val="6"/>
                <w:szCs w:val="6"/>
              </w:rPr>
            </w:pPr>
          </w:p>
        </w:tc>
        <w:tc>
          <w:tcPr>
            <w:tcW w:w="222" w:type="dxa"/>
            <w:shd w:val="clear" w:color="auto" w:fill="auto"/>
            <w:noWrap/>
            <w:vAlign w:val="bottom"/>
          </w:tcPr>
          <w:p w14:paraId="72449805" w14:textId="77777777" w:rsidR="00F41A33" w:rsidRPr="0011239F" w:rsidRDefault="00F41A33" w:rsidP="00F41A33">
            <w:pPr>
              <w:ind w:left="-673"/>
              <w:jc w:val="center"/>
              <w:rPr>
                <w:rFonts w:ascii="Arial" w:hAnsi="Arial" w:cs="Arial"/>
                <w:sz w:val="6"/>
                <w:szCs w:val="6"/>
              </w:rPr>
            </w:pPr>
          </w:p>
        </w:tc>
        <w:tc>
          <w:tcPr>
            <w:tcW w:w="5483" w:type="dxa"/>
            <w:tcBorders>
              <w:top w:val="single" w:sz="4" w:space="0" w:color="A6A6A6" w:themeColor="background1" w:themeShade="A6"/>
              <w:bottom w:val="single" w:sz="4" w:space="0" w:color="A6A6A6" w:themeColor="background1" w:themeShade="A6"/>
            </w:tcBorders>
            <w:shd w:val="clear" w:color="auto" w:fill="auto"/>
            <w:noWrap/>
            <w:vAlign w:val="center"/>
          </w:tcPr>
          <w:p w14:paraId="4C88E057" w14:textId="77777777" w:rsidR="00F41A33" w:rsidRPr="0011239F" w:rsidRDefault="00F41A33" w:rsidP="00F41A33">
            <w:pPr>
              <w:rPr>
                <w:rFonts w:ascii="Arial" w:hAnsi="Arial" w:cs="Arial"/>
                <w:sz w:val="6"/>
                <w:szCs w:val="6"/>
              </w:rPr>
            </w:pPr>
          </w:p>
        </w:tc>
      </w:tr>
      <w:tr w:rsidR="00F41A33" w:rsidRPr="0011239F" w14:paraId="4F197E91" w14:textId="77777777" w:rsidTr="00A62927">
        <w:trPr>
          <w:trHeight w:val="1260"/>
        </w:trPr>
        <w:tc>
          <w:tcPr>
            <w:tcW w:w="3934" w:type="dxa"/>
            <w:shd w:val="clear" w:color="auto" w:fill="BAE4FC"/>
            <w:vAlign w:val="center"/>
          </w:tcPr>
          <w:p w14:paraId="124E2439" w14:textId="77777777" w:rsidR="00F41A33" w:rsidRPr="0011239F" w:rsidRDefault="00F41A33" w:rsidP="00F41A33">
            <w:pPr>
              <w:jc w:val="center"/>
              <w:rPr>
                <w:rFonts w:ascii="Arial" w:hAnsi="Arial" w:cs="Arial"/>
                <w:bCs/>
              </w:rPr>
            </w:pPr>
            <w:r w:rsidRPr="0011239F">
              <w:rPr>
                <w:rFonts w:ascii="Arial" w:hAnsi="Arial" w:cs="Arial"/>
                <w:bCs/>
              </w:rPr>
              <w:t>Equipping teachers with the best skills for educating our young people</w:t>
            </w:r>
          </w:p>
        </w:tc>
        <w:tc>
          <w:tcPr>
            <w:tcW w:w="222" w:type="dxa"/>
            <w:tcBorders>
              <w:right w:val="single" w:sz="4" w:space="0" w:color="A6A6A6" w:themeColor="background1" w:themeShade="A6"/>
            </w:tcBorders>
            <w:shd w:val="clear" w:color="auto" w:fill="auto"/>
            <w:noWrap/>
            <w:vAlign w:val="center"/>
          </w:tcPr>
          <w:p w14:paraId="5AD06583" w14:textId="77777777" w:rsidR="00F41A33" w:rsidRPr="0011239F" w:rsidRDefault="00F41A33" w:rsidP="00F41A33">
            <w:pPr>
              <w:spacing w:after="280"/>
              <w:ind w:left="-673"/>
              <w:jc w:val="center"/>
              <w:rPr>
                <w:rFonts w:ascii="Arial" w:hAnsi="Arial" w:cs="Arial"/>
                <w:b/>
                <w:bCs/>
                <w:color w:val="FFFFFF"/>
              </w:rPr>
            </w:pPr>
          </w:p>
        </w:tc>
        <w:tc>
          <w:tcPr>
            <w:tcW w:w="54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D34562" w14:textId="77777777" w:rsidR="00F41A33" w:rsidRPr="0011239F" w:rsidRDefault="00F41A33" w:rsidP="009C2428">
            <w:pPr>
              <w:spacing w:before="120" w:after="120"/>
              <w:rPr>
                <w:rFonts w:ascii="Arial" w:hAnsi="Arial" w:cs="Arial"/>
              </w:rPr>
            </w:pPr>
            <w:r w:rsidRPr="0011239F">
              <w:rPr>
                <w:rFonts w:ascii="Arial" w:hAnsi="Arial" w:cs="Arial"/>
              </w:rPr>
              <w:t>Improving teacher quality in New South Wales through the regulation and accreditation of school and early childhood teachers by the New South Wales Education Standards Authority (NESA).</w:t>
            </w:r>
          </w:p>
        </w:tc>
      </w:tr>
      <w:tr w:rsidR="00F41A33" w:rsidRPr="0011239F" w14:paraId="7E45E6AF" w14:textId="77777777" w:rsidTr="009D302A">
        <w:trPr>
          <w:trHeight w:val="58"/>
        </w:trPr>
        <w:tc>
          <w:tcPr>
            <w:tcW w:w="3934" w:type="dxa"/>
            <w:shd w:val="clear" w:color="auto" w:fill="auto"/>
            <w:noWrap/>
            <w:vAlign w:val="center"/>
          </w:tcPr>
          <w:p w14:paraId="201962D6" w14:textId="77777777" w:rsidR="00F41A33" w:rsidRPr="0011239F" w:rsidRDefault="00F41A33" w:rsidP="00F41A33">
            <w:pPr>
              <w:jc w:val="center"/>
              <w:rPr>
                <w:rFonts w:ascii="Arial" w:hAnsi="Arial" w:cs="Arial"/>
                <w:color w:val="000000"/>
                <w:sz w:val="6"/>
                <w:szCs w:val="6"/>
              </w:rPr>
            </w:pPr>
          </w:p>
        </w:tc>
        <w:tc>
          <w:tcPr>
            <w:tcW w:w="222" w:type="dxa"/>
            <w:shd w:val="clear" w:color="auto" w:fill="auto"/>
            <w:noWrap/>
            <w:vAlign w:val="center"/>
          </w:tcPr>
          <w:p w14:paraId="08F15D46" w14:textId="77777777" w:rsidR="00F41A33" w:rsidRPr="0011239F" w:rsidRDefault="00F41A33" w:rsidP="00F41A33">
            <w:pPr>
              <w:ind w:left="-673"/>
              <w:jc w:val="center"/>
              <w:rPr>
                <w:rFonts w:ascii="Arial" w:hAnsi="Arial" w:cs="Arial"/>
                <w:sz w:val="6"/>
                <w:szCs w:val="6"/>
              </w:rPr>
            </w:pPr>
          </w:p>
        </w:tc>
        <w:tc>
          <w:tcPr>
            <w:tcW w:w="5483" w:type="dxa"/>
            <w:tcBorders>
              <w:top w:val="single" w:sz="4" w:space="0" w:color="A6A6A6" w:themeColor="background1" w:themeShade="A6"/>
              <w:bottom w:val="single" w:sz="4" w:space="0" w:color="A6A6A6" w:themeColor="background1" w:themeShade="A6"/>
            </w:tcBorders>
            <w:shd w:val="clear" w:color="auto" w:fill="auto"/>
            <w:noWrap/>
            <w:vAlign w:val="center"/>
          </w:tcPr>
          <w:p w14:paraId="2E93FC61" w14:textId="77777777" w:rsidR="00F41A33" w:rsidRPr="0011239F" w:rsidRDefault="00F41A33" w:rsidP="00F41A33">
            <w:pPr>
              <w:rPr>
                <w:rFonts w:ascii="Arial" w:hAnsi="Arial" w:cs="Arial"/>
                <w:sz w:val="6"/>
                <w:szCs w:val="6"/>
              </w:rPr>
            </w:pPr>
          </w:p>
        </w:tc>
      </w:tr>
      <w:tr w:rsidR="00F41A33" w:rsidRPr="0011239F" w14:paraId="1D4C247B" w14:textId="77777777" w:rsidTr="009C2428">
        <w:trPr>
          <w:trHeight w:val="1242"/>
        </w:trPr>
        <w:tc>
          <w:tcPr>
            <w:tcW w:w="3934" w:type="dxa"/>
            <w:shd w:val="clear" w:color="auto" w:fill="EBF7FE"/>
            <w:vAlign w:val="center"/>
          </w:tcPr>
          <w:p w14:paraId="5AAFB26C" w14:textId="3AD27704" w:rsidR="00F41A33" w:rsidRPr="0011239F" w:rsidRDefault="0024484E" w:rsidP="00F41A33">
            <w:pPr>
              <w:jc w:val="center"/>
              <w:rPr>
                <w:rFonts w:ascii="Arial" w:hAnsi="Arial" w:cs="Arial"/>
                <w:bCs/>
              </w:rPr>
            </w:pPr>
            <w:r w:rsidRPr="0011239F">
              <w:rPr>
                <w:rFonts w:ascii="Arial" w:eastAsiaTheme="minorHAnsi" w:hAnsi="Arial" w:cs="Arial"/>
                <w:szCs w:val="21"/>
              </w:rPr>
              <w:t>Skilled and employable workforce</w:t>
            </w:r>
          </w:p>
        </w:tc>
        <w:tc>
          <w:tcPr>
            <w:tcW w:w="222" w:type="dxa"/>
            <w:tcBorders>
              <w:right w:val="single" w:sz="4" w:space="0" w:color="A6A6A6" w:themeColor="background1" w:themeShade="A6"/>
            </w:tcBorders>
            <w:shd w:val="clear" w:color="auto" w:fill="auto"/>
            <w:noWrap/>
            <w:vAlign w:val="center"/>
          </w:tcPr>
          <w:p w14:paraId="215CB3FA" w14:textId="77777777" w:rsidR="00F41A33" w:rsidRPr="0011239F" w:rsidRDefault="00F41A33" w:rsidP="00F41A33">
            <w:pPr>
              <w:ind w:left="-673"/>
              <w:jc w:val="center"/>
              <w:rPr>
                <w:rFonts w:ascii="Arial" w:hAnsi="Arial" w:cs="Arial"/>
                <w:color w:val="000000"/>
              </w:rPr>
            </w:pPr>
          </w:p>
        </w:tc>
        <w:tc>
          <w:tcPr>
            <w:tcW w:w="54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C713005" w14:textId="77777777" w:rsidR="00F41A33" w:rsidRPr="0011239F" w:rsidRDefault="0024484E" w:rsidP="009C2428">
            <w:pPr>
              <w:spacing w:before="120" w:after="120"/>
              <w:rPr>
                <w:rFonts w:ascii="Arial" w:hAnsi="Arial" w:cs="Arial"/>
              </w:rPr>
            </w:pPr>
            <w:r w:rsidRPr="0011239F">
              <w:rPr>
                <w:rFonts w:ascii="Arial" w:hAnsi="Arial" w:cs="Arial"/>
              </w:rPr>
              <w:t>Contributing to job growth by delivering a highly skilled workforce that meets current and future requirements of NSW businesses and industry, including the activities of TAFE NSW.</w:t>
            </w:r>
          </w:p>
        </w:tc>
      </w:tr>
      <w:bookmarkEnd w:id="6"/>
    </w:tbl>
    <w:p w14:paraId="0D20557C" w14:textId="77777777" w:rsidR="001E0D54" w:rsidRPr="0011239F" w:rsidRDefault="001E0D54" w:rsidP="005F6E9B">
      <w:pPr>
        <w:adjustRightInd w:val="0"/>
        <w:rPr>
          <w:rFonts w:ascii="Arial" w:eastAsiaTheme="minorHAnsi" w:hAnsi="Arial" w:cs="Arial"/>
          <w:b/>
          <w:i/>
          <w:sz w:val="8"/>
          <w:szCs w:val="8"/>
        </w:rPr>
      </w:pPr>
    </w:p>
    <w:p w14:paraId="5532FEF3" w14:textId="77777777" w:rsidR="00E27C10" w:rsidRPr="0011239F" w:rsidRDefault="00E27C10" w:rsidP="00E27C10">
      <w:pPr>
        <w:rPr>
          <w:rFonts w:ascii="Arial" w:hAnsi="Arial" w:cs="Arial"/>
          <w:highlight w:val="lightGray"/>
          <w:u w:color="00ABE6"/>
        </w:rPr>
      </w:pPr>
      <w:r w:rsidRPr="0011239F">
        <w:rPr>
          <w:rFonts w:ascii="Arial" w:hAnsi="Arial" w:cs="Arial"/>
          <w:highlight w:val="lightGray"/>
          <w:u w:color="00ABE6"/>
        </w:rPr>
        <w:br w:type="page"/>
      </w:r>
    </w:p>
    <w:p w14:paraId="2B455E19" w14:textId="2E3227F0" w:rsidR="00CD4DEB" w:rsidRPr="0011239F" w:rsidRDefault="006D4B0D" w:rsidP="00C36202">
      <w:pPr>
        <w:pStyle w:val="Heading2"/>
        <w:rPr>
          <w:rFonts w:ascii="Arial" w:hAnsi="Arial" w:cs="Arial"/>
        </w:rPr>
      </w:pPr>
      <w:r w:rsidRPr="0011239F">
        <w:rPr>
          <w:rFonts w:ascii="Arial" w:hAnsi="Arial" w:cs="Arial"/>
        </w:rPr>
        <w:lastRenderedPageBreak/>
        <w:t>2019-20</w:t>
      </w:r>
      <w:r w:rsidR="00CD4DEB" w:rsidRPr="0011239F">
        <w:rPr>
          <w:rFonts w:ascii="Arial" w:hAnsi="Arial" w:cs="Arial"/>
        </w:rPr>
        <w:t xml:space="preserve"> Budget </w:t>
      </w:r>
      <w:r w:rsidR="007A132A" w:rsidRPr="0011239F">
        <w:rPr>
          <w:rFonts w:ascii="Arial" w:hAnsi="Arial" w:cs="Arial"/>
        </w:rPr>
        <w:t>H</w:t>
      </w:r>
      <w:r w:rsidR="00CD4DEB" w:rsidRPr="0011239F">
        <w:rPr>
          <w:rFonts w:ascii="Arial" w:hAnsi="Arial" w:cs="Arial"/>
        </w:rPr>
        <w:t>ighlights</w:t>
      </w:r>
      <w:r w:rsidR="0016705D" w:rsidRPr="0011239F">
        <w:rPr>
          <w:rFonts w:ascii="Arial" w:hAnsi="Arial" w:cs="Arial"/>
        </w:rPr>
        <w:t xml:space="preserve"> </w:t>
      </w:r>
    </w:p>
    <w:p w14:paraId="6C8BC548" w14:textId="1B1B6A90" w:rsidR="00B97865" w:rsidRPr="0011239F" w:rsidRDefault="00B97865" w:rsidP="00B97865">
      <w:pPr>
        <w:spacing w:after="100" w:line="240" w:lineRule="atLeast"/>
        <w:rPr>
          <w:rFonts w:ascii="Arial" w:eastAsiaTheme="minorHAnsi" w:hAnsi="Arial" w:cs="Arial"/>
          <w:sz w:val="23"/>
          <w:lang w:val="en-US"/>
        </w:rPr>
      </w:pPr>
      <w:r w:rsidRPr="0011239F">
        <w:rPr>
          <w:rFonts w:ascii="Arial" w:eastAsiaTheme="minorHAnsi" w:hAnsi="Arial" w:cs="Arial"/>
          <w:sz w:val="23"/>
          <w:lang w:val="en-US"/>
        </w:rPr>
        <w:t xml:space="preserve">In 2019-20, the </w:t>
      </w:r>
      <w:r w:rsidR="00446E42" w:rsidRPr="0011239F">
        <w:rPr>
          <w:rFonts w:ascii="Arial" w:eastAsiaTheme="minorHAnsi" w:hAnsi="Arial" w:cs="Arial"/>
          <w:sz w:val="23"/>
          <w:lang w:val="en-US"/>
        </w:rPr>
        <w:t>Education</w:t>
      </w:r>
      <w:r w:rsidRPr="0011239F">
        <w:rPr>
          <w:rFonts w:ascii="Arial" w:eastAsiaTheme="minorHAnsi" w:hAnsi="Arial" w:cs="Arial"/>
          <w:sz w:val="23"/>
          <w:lang w:val="en-US"/>
        </w:rPr>
        <w:t xml:space="preserve"> cluster will spend</w:t>
      </w:r>
      <w:r w:rsidR="0020737A" w:rsidRPr="0011239F">
        <w:rPr>
          <w:rFonts w:ascii="Arial" w:eastAsiaTheme="minorHAnsi" w:hAnsi="Arial" w:cs="Arial"/>
          <w:sz w:val="23"/>
          <w:lang w:val="en-US"/>
        </w:rPr>
        <w:t xml:space="preserve"> more than</w:t>
      </w:r>
      <w:r w:rsidRPr="0011239F">
        <w:rPr>
          <w:rFonts w:ascii="Arial" w:eastAsiaTheme="minorHAnsi" w:hAnsi="Arial" w:cs="Arial"/>
          <w:sz w:val="23"/>
          <w:lang w:val="en-US"/>
        </w:rPr>
        <w:t xml:space="preserve"> $</w:t>
      </w:r>
      <w:r w:rsidR="0032650A" w:rsidRPr="0011239F">
        <w:rPr>
          <w:rFonts w:ascii="Arial" w:eastAsiaTheme="minorHAnsi" w:hAnsi="Arial" w:cs="Arial"/>
          <w:sz w:val="23"/>
          <w:lang w:val="en-US"/>
        </w:rPr>
        <w:t>2</w:t>
      </w:r>
      <w:r w:rsidR="00011030">
        <w:rPr>
          <w:rFonts w:ascii="Arial" w:eastAsiaTheme="minorHAnsi" w:hAnsi="Arial" w:cs="Arial"/>
          <w:sz w:val="23"/>
          <w:lang w:val="en-US"/>
        </w:rPr>
        <w:t>0</w:t>
      </w:r>
      <w:r w:rsidR="007C4D52" w:rsidRPr="0011239F">
        <w:rPr>
          <w:rFonts w:ascii="Arial" w:eastAsiaTheme="minorHAnsi" w:hAnsi="Arial" w:cs="Arial"/>
          <w:sz w:val="23"/>
          <w:lang w:val="en-US"/>
        </w:rPr>
        <w:t>.</w:t>
      </w:r>
      <w:r w:rsidR="00011030">
        <w:rPr>
          <w:rFonts w:ascii="Arial" w:eastAsiaTheme="minorHAnsi" w:hAnsi="Arial" w:cs="Arial"/>
          <w:sz w:val="23"/>
          <w:lang w:val="en-US"/>
        </w:rPr>
        <w:t>9</w:t>
      </w:r>
      <w:r w:rsidR="009D5CA4" w:rsidRPr="0011239F">
        <w:rPr>
          <w:rFonts w:ascii="Arial" w:eastAsiaTheme="minorHAnsi" w:hAnsi="Arial" w:cs="Arial"/>
          <w:sz w:val="23"/>
          <w:lang w:val="en-US"/>
        </w:rPr>
        <w:t xml:space="preserve"> </w:t>
      </w:r>
      <w:r w:rsidRPr="0011239F">
        <w:rPr>
          <w:rFonts w:ascii="Arial" w:eastAsiaTheme="minorHAnsi" w:hAnsi="Arial" w:cs="Arial"/>
          <w:sz w:val="23"/>
          <w:lang w:val="en-US"/>
        </w:rPr>
        <w:t>billion ($</w:t>
      </w:r>
      <w:r w:rsidR="00011030">
        <w:rPr>
          <w:rFonts w:ascii="Arial" w:eastAsiaTheme="minorHAnsi" w:hAnsi="Arial" w:cs="Arial"/>
          <w:sz w:val="23"/>
          <w:lang w:val="en-US"/>
        </w:rPr>
        <w:t>18</w:t>
      </w:r>
      <w:r w:rsidR="0032650A" w:rsidRPr="0011239F">
        <w:rPr>
          <w:rFonts w:ascii="Arial" w:eastAsiaTheme="minorHAnsi" w:hAnsi="Arial" w:cs="Arial"/>
          <w:sz w:val="23"/>
          <w:lang w:val="en-US"/>
        </w:rPr>
        <w:t>.</w:t>
      </w:r>
      <w:r w:rsidR="00011030">
        <w:rPr>
          <w:rFonts w:ascii="Arial" w:eastAsiaTheme="minorHAnsi" w:hAnsi="Arial" w:cs="Arial"/>
          <w:sz w:val="23"/>
          <w:lang w:val="en-US"/>
        </w:rPr>
        <w:t>6</w:t>
      </w:r>
      <w:r w:rsidRPr="0011239F">
        <w:rPr>
          <w:rFonts w:ascii="Arial" w:eastAsiaTheme="minorHAnsi" w:hAnsi="Arial" w:cs="Arial"/>
          <w:sz w:val="23"/>
          <w:lang w:val="en-US"/>
        </w:rPr>
        <w:t xml:space="preserve"> </w:t>
      </w:r>
      <w:r w:rsidR="00E96ECD" w:rsidRPr="0011239F">
        <w:rPr>
          <w:rFonts w:ascii="Arial" w:eastAsiaTheme="minorHAnsi" w:hAnsi="Arial" w:cs="Arial"/>
          <w:sz w:val="23"/>
          <w:lang w:val="en-US"/>
        </w:rPr>
        <w:t>b</w:t>
      </w:r>
      <w:r w:rsidRPr="0011239F">
        <w:rPr>
          <w:rFonts w:ascii="Arial" w:eastAsiaTheme="minorHAnsi" w:hAnsi="Arial" w:cs="Arial"/>
          <w:sz w:val="23"/>
          <w:lang w:val="en-US"/>
        </w:rPr>
        <w:t>illion</w:t>
      </w:r>
      <w:r w:rsidR="0020737A" w:rsidRPr="0011239F">
        <w:rPr>
          <w:rFonts w:ascii="Arial" w:eastAsiaTheme="minorHAnsi" w:hAnsi="Arial" w:cs="Arial"/>
          <w:sz w:val="23"/>
          <w:lang w:val="en-US"/>
        </w:rPr>
        <w:t xml:space="preserve"> recurrent</w:t>
      </w:r>
      <w:r w:rsidRPr="0011239F">
        <w:rPr>
          <w:rFonts w:ascii="Arial" w:eastAsiaTheme="minorHAnsi" w:hAnsi="Arial" w:cs="Arial"/>
          <w:sz w:val="23"/>
          <w:lang w:val="en-US"/>
        </w:rPr>
        <w:t xml:space="preserve"> expenses</w:t>
      </w:r>
      <w:r w:rsidR="005F2DFF" w:rsidRPr="0011239F">
        <w:rPr>
          <w:rFonts w:ascii="Arial" w:eastAsiaTheme="minorHAnsi" w:hAnsi="Arial" w:cs="Arial"/>
          <w:sz w:val="23"/>
          <w:lang w:val="en-US"/>
        </w:rPr>
        <w:t xml:space="preserve"> and</w:t>
      </w:r>
      <w:r w:rsidRPr="0011239F">
        <w:rPr>
          <w:rFonts w:ascii="Arial" w:eastAsiaTheme="minorHAnsi" w:hAnsi="Arial" w:cs="Arial"/>
          <w:sz w:val="23"/>
          <w:lang w:val="en-US"/>
        </w:rPr>
        <w:t xml:space="preserve"> $</w:t>
      </w:r>
      <w:r w:rsidR="0032650A" w:rsidRPr="0011239F">
        <w:rPr>
          <w:rFonts w:ascii="Arial" w:eastAsiaTheme="minorHAnsi" w:hAnsi="Arial" w:cs="Arial"/>
          <w:sz w:val="23"/>
          <w:lang w:val="en-US"/>
        </w:rPr>
        <w:t>2.4</w:t>
      </w:r>
      <w:r w:rsidRPr="0011239F">
        <w:rPr>
          <w:rFonts w:ascii="Arial" w:eastAsiaTheme="minorHAnsi" w:hAnsi="Arial" w:cs="Arial"/>
          <w:sz w:val="23"/>
          <w:lang w:val="en-US"/>
        </w:rPr>
        <w:t xml:space="preserve"> </w:t>
      </w:r>
      <w:r w:rsidR="00E96ECD" w:rsidRPr="0011239F">
        <w:rPr>
          <w:rFonts w:ascii="Arial" w:eastAsiaTheme="minorHAnsi" w:hAnsi="Arial" w:cs="Arial"/>
          <w:sz w:val="23"/>
          <w:lang w:val="en-US"/>
        </w:rPr>
        <w:t>b</w:t>
      </w:r>
      <w:r w:rsidRPr="0011239F">
        <w:rPr>
          <w:rFonts w:ascii="Arial" w:eastAsiaTheme="minorHAnsi" w:hAnsi="Arial" w:cs="Arial"/>
          <w:sz w:val="23"/>
          <w:lang w:val="en-US"/>
        </w:rPr>
        <w:t>illion capital</w:t>
      </w:r>
      <w:r w:rsidR="000228E6" w:rsidRPr="0011239F">
        <w:rPr>
          <w:rFonts w:ascii="Arial" w:eastAsiaTheme="minorHAnsi" w:hAnsi="Arial" w:cs="Arial"/>
          <w:sz w:val="23"/>
          <w:lang w:val="en-US"/>
        </w:rPr>
        <w:t xml:space="preserve"> expenditure</w:t>
      </w:r>
      <w:r w:rsidRPr="0011239F">
        <w:rPr>
          <w:rFonts w:ascii="Arial" w:eastAsiaTheme="minorHAnsi" w:hAnsi="Arial" w:cs="Arial"/>
          <w:sz w:val="23"/>
          <w:lang w:val="en-US"/>
        </w:rPr>
        <w:t>)</w:t>
      </w:r>
      <w:r w:rsidR="00F267DE" w:rsidRPr="0011239F">
        <w:rPr>
          <w:rFonts w:ascii="Arial" w:eastAsiaTheme="minorHAnsi" w:hAnsi="Arial" w:cs="Arial"/>
          <w:sz w:val="23"/>
          <w:lang w:val="en-US"/>
        </w:rPr>
        <w:t>.</w:t>
      </w:r>
      <w:r w:rsidRPr="0011239F">
        <w:rPr>
          <w:rFonts w:ascii="Arial" w:eastAsiaTheme="minorHAnsi" w:hAnsi="Arial" w:cs="Arial"/>
          <w:sz w:val="23"/>
          <w:lang w:val="en-US"/>
        </w:rPr>
        <w:t xml:space="preserve"> Key </w:t>
      </w:r>
      <w:r w:rsidR="00C445D8" w:rsidRPr="0011239F">
        <w:rPr>
          <w:rFonts w:ascii="Arial" w:eastAsiaTheme="minorHAnsi" w:hAnsi="Arial" w:cs="Arial"/>
          <w:sz w:val="23"/>
          <w:lang w:val="en-US"/>
        </w:rPr>
        <w:t>initiatives are highlighted below.</w:t>
      </w:r>
    </w:p>
    <w:p w14:paraId="5B8E5C59" w14:textId="7E24BC6F" w:rsidR="00B97865" w:rsidRPr="0011239F" w:rsidRDefault="002A08F5" w:rsidP="00383B36">
      <w:pPr>
        <w:pStyle w:val="Heading4"/>
        <w:rPr>
          <w:rFonts w:eastAsiaTheme="minorHAnsi" w:cs="Arial"/>
        </w:rPr>
      </w:pPr>
      <w:bookmarkStart w:id="7" w:name="_Hlk7522941"/>
      <w:r w:rsidRPr="0011239F">
        <w:rPr>
          <w:rFonts w:eastAsiaTheme="minorHAnsi" w:cs="Arial"/>
        </w:rPr>
        <w:t xml:space="preserve">Educational foundations for success </w:t>
      </w:r>
    </w:p>
    <w:p w14:paraId="7E472662" w14:textId="1C219D7B" w:rsidR="00F00E4F" w:rsidRPr="0011239F" w:rsidRDefault="00F00E4F">
      <w:pPr>
        <w:pStyle w:val="Bullet1"/>
      </w:pPr>
      <w:r w:rsidRPr="0011239F">
        <w:t xml:space="preserve">New South Wales was the first </w:t>
      </w:r>
      <w:r w:rsidR="00B2223A" w:rsidRPr="0011239F">
        <w:t xml:space="preserve">state </w:t>
      </w:r>
      <w:r w:rsidRPr="0011239F">
        <w:t xml:space="preserve">to sign the original </w:t>
      </w:r>
      <w:proofErr w:type="spellStart"/>
      <w:r w:rsidRPr="0011239F">
        <w:t>Gonski</w:t>
      </w:r>
      <w:proofErr w:type="spellEnd"/>
      <w:r w:rsidRPr="0011239F">
        <w:t xml:space="preserve"> </w:t>
      </w:r>
      <w:proofErr w:type="gramStart"/>
      <w:r w:rsidRPr="0011239F">
        <w:t>Agreement, and</w:t>
      </w:r>
      <w:proofErr w:type="gramEnd"/>
      <w:r w:rsidRPr="0011239F">
        <w:t xml:space="preserve"> has now signed the National School Reform Agreement </w:t>
      </w:r>
      <w:r w:rsidR="00B2223A" w:rsidRPr="0011239F">
        <w:t xml:space="preserve">(NSRA) </w:t>
      </w:r>
      <w:r w:rsidRPr="0011239F">
        <w:t xml:space="preserve">for 2019 to 2023, highlighting a commitment to deliver needs-based funding to government and non-government schools. Under the </w:t>
      </w:r>
      <w:r w:rsidR="00B2223A" w:rsidRPr="0011239F">
        <w:t>NSRA</w:t>
      </w:r>
      <w:r w:rsidRPr="0011239F">
        <w:t xml:space="preserve">, New South Wales has committed to implement national policy initiatives, and a series of state-based reforms across government and non-government schools </w:t>
      </w:r>
    </w:p>
    <w:p w14:paraId="173356CD" w14:textId="7E08844A" w:rsidR="00B2223A" w:rsidRPr="0011239F" w:rsidRDefault="00B2223A">
      <w:pPr>
        <w:pStyle w:val="Bullet1"/>
      </w:pPr>
      <w:r w:rsidRPr="0011239F">
        <w:t xml:space="preserve">4,600 extra teachers will be recruited across government schools in New South Wales over four years to meet population growth and provide more targeted support to the students that need it most. This investment will deliver the highest number of teachers in government schools in the State’s history </w:t>
      </w:r>
    </w:p>
    <w:p w14:paraId="0A988779" w14:textId="23E19FEF" w:rsidR="00F00E4F" w:rsidRPr="0011239F" w:rsidRDefault="00F00E4F">
      <w:pPr>
        <w:pStyle w:val="Bullet1"/>
      </w:pPr>
      <w:r w:rsidRPr="0011239F">
        <w:t>$1.4 billion to support non-government schools in 2019-20</w:t>
      </w:r>
      <w:r w:rsidR="00B2223A" w:rsidRPr="0011239F">
        <w:t xml:space="preserve">, including additional funding for non-government school </w:t>
      </w:r>
      <w:r w:rsidR="00B0442E" w:rsidRPr="0011239F">
        <w:t xml:space="preserve">essential </w:t>
      </w:r>
      <w:r w:rsidR="00B2223A" w:rsidRPr="0011239F">
        <w:t xml:space="preserve">capital works under the Building Grants Assistance Scheme </w:t>
      </w:r>
      <w:r w:rsidRPr="0011239F">
        <w:t xml:space="preserve"> </w:t>
      </w:r>
    </w:p>
    <w:p w14:paraId="13AF28B9" w14:textId="134190BF" w:rsidR="00F00E4F" w:rsidRPr="0011239F" w:rsidRDefault="00F00E4F">
      <w:pPr>
        <w:pStyle w:val="Bullet1"/>
      </w:pPr>
      <w:r w:rsidRPr="0011239F">
        <w:t>$917.4 million over four years to build eight new schools and significantly upgrade a further 32 schools, bringing the Government’s total investment in school infrastructure to $6.7</w:t>
      </w:r>
      <w:r w:rsidR="000B54D1" w:rsidRPr="0011239F">
        <w:t> </w:t>
      </w:r>
      <w:r w:rsidRPr="0011239F">
        <w:t xml:space="preserve">billion over the next four years </w:t>
      </w:r>
    </w:p>
    <w:p w14:paraId="41BA09E3" w14:textId="3BCFFBD4" w:rsidR="00F00E4F" w:rsidRPr="0011239F" w:rsidRDefault="00F00E4F">
      <w:pPr>
        <w:pStyle w:val="Bullet1"/>
      </w:pPr>
      <w:bookmarkStart w:id="8" w:name="_Hlk10719491"/>
      <w:r w:rsidRPr="0011239F">
        <w:t>$500 million over four years to support non-government schools to build, extend or upgrade their facilities to provide more student places in growing communities</w:t>
      </w:r>
    </w:p>
    <w:bookmarkEnd w:id="8"/>
    <w:p w14:paraId="1891E8D4" w14:textId="73EEEF85" w:rsidR="00F00E4F" w:rsidRPr="0011239F" w:rsidRDefault="00F00E4F">
      <w:pPr>
        <w:pStyle w:val="Bullet1"/>
      </w:pPr>
      <w:r w:rsidRPr="0011239F">
        <w:t>$449 million to clear the existing school maintenance backlog in all public schools by July 2020, bringing the total investment to more than $1.3 billion over five years</w:t>
      </w:r>
    </w:p>
    <w:p w14:paraId="50AB48CA" w14:textId="77777777" w:rsidR="00F00E4F" w:rsidRPr="0011239F" w:rsidRDefault="00F00E4F">
      <w:pPr>
        <w:pStyle w:val="Bullet1"/>
      </w:pPr>
      <w:r w:rsidRPr="0011239F">
        <w:t>$120 million over four years to expand before and after school care, making it available to all parents with children at public primary schools by 2021</w:t>
      </w:r>
    </w:p>
    <w:p w14:paraId="56143DC8" w14:textId="10857361" w:rsidR="00F00E4F" w:rsidRPr="0011239F" w:rsidRDefault="00F00E4F">
      <w:pPr>
        <w:pStyle w:val="Bullet1"/>
      </w:pPr>
      <w:r w:rsidRPr="0011239F">
        <w:t>$88.4 million over four years to employ 100 additional school counsellors or psychologists and an additional 350 student support officers, as well as dedicated services for rural and remote students, to ensure public high school students across the State have access to mental health and wellbeing support</w:t>
      </w:r>
    </w:p>
    <w:p w14:paraId="6192F7AC" w14:textId="0FAB5B08" w:rsidR="00F00E4F" w:rsidRPr="0011239F" w:rsidRDefault="00F00E4F">
      <w:pPr>
        <w:pStyle w:val="Bullet1"/>
      </w:pPr>
      <w:r w:rsidRPr="0011239F">
        <w:t>$10 million over four years for the Sustainable Schools Program to help schools and students develop innovative and hands-on solutions outside the classroom to reduce, re</w:t>
      </w:r>
      <w:r w:rsidR="000B54D1" w:rsidRPr="0011239F">
        <w:noBreakHyphen/>
      </w:r>
      <w:r w:rsidRPr="0011239F">
        <w:t xml:space="preserve">use and recycle in order to make their school environments more sustainable </w:t>
      </w:r>
    </w:p>
    <w:p w14:paraId="309DC583" w14:textId="73AEC0BB" w:rsidR="00F00E4F" w:rsidRPr="0011239F" w:rsidRDefault="00F00E4F">
      <w:pPr>
        <w:pStyle w:val="Bullet1"/>
        <w:rPr>
          <w:b/>
        </w:rPr>
      </w:pPr>
      <w:r w:rsidRPr="0011239F">
        <w:t>$8 million over four years for Foodbank NSW and ACT Limited to expand the School Breakfast 4 Health program to a further 500 schools</w:t>
      </w:r>
    </w:p>
    <w:p w14:paraId="1224B0DC" w14:textId="4A897651" w:rsidR="00F00E4F" w:rsidRPr="0011239F" w:rsidRDefault="00F00E4F">
      <w:pPr>
        <w:pStyle w:val="Bullet1"/>
        <w:rPr>
          <w:b/>
        </w:rPr>
      </w:pPr>
      <w:r w:rsidRPr="0011239F">
        <w:t>$7.4 million over four years to upgrade 11 public schools, including installation of solar panels, covered outdoor learning areas and upgrades to sports facilities</w:t>
      </w:r>
    </w:p>
    <w:p w14:paraId="693D6C7A" w14:textId="44F9FEF2" w:rsidR="00F00E4F" w:rsidRPr="0011239F" w:rsidRDefault="00F00E4F">
      <w:pPr>
        <w:pStyle w:val="Bullet1"/>
      </w:pPr>
      <w:r w:rsidRPr="0011239F">
        <w:t>$2 million over four years to support Life Education NSW to continue to deliver the Healthy Harold program and promote healthy lifestyles in schools</w:t>
      </w:r>
    </w:p>
    <w:bookmarkEnd w:id="7"/>
    <w:p w14:paraId="6D7AEE88" w14:textId="7AC81CB1" w:rsidR="00DB0BB5" w:rsidRPr="0011239F" w:rsidRDefault="008F7600" w:rsidP="00C36202">
      <w:pPr>
        <w:pStyle w:val="Bullet1"/>
      </w:pPr>
      <w:r w:rsidRPr="0011239F">
        <w:t>$0.2 million to support the NSW Federation of Community Language Schools to assist students to learn a second language</w:t>
      </w:r>
    </w:p>
    <w:p w14:paraId="14DC35C6" w14:textId="786943CB" w:rsidR="00956C0E" w:rsidRPr="0011239F" w:rsidRDefault="00956C0E" w:rsidP="00C36202">
      <w:pPr>
        <w:pStyle w:val="Bullet1"/>
      </w:pPr>
      <w:r w:rsidRPr="0011239F">
        <w:t xml:space="preserve">The Department of Education will trial a Year 1 phonics screening check in select public schools in order to help boost literacy outcomes in the early years. The trial will be ‘opt in’ – giving </w:t>
      </w:r>
      <w:r w:rsidR="004365B3" w:rsidRPr="0011239F">
        <w:t>p</w:t>
      </w:r>
      <w:r w:rsidRPr="0011239F">
        <w:t>rincipals the freedom to choose whether they want to participate.</w:t>
      </w:r>
    </w:p>
    <w:p w14:paraId="48F4CB9D" w14:textId="47CAD9A1" w:rsidR="002A08F5" w:rsidRPr="0011239F" w:rsidRDefault="002A08F5" w:rsidP="00C828F2">
      <w:pPr>
        <w:pStyle w:val="Heading5"/>
        <w:spacing w:before="120"/>
        <w:rPr>
          <w:rFonts w:eastAsiaTheme="minorHAnsi" w:cs="Arial"/>
          <w:sz w:val="25"/>
        </w:rPr>
      </w:pPr>
      <w:r w:rsidRPr="0011239F">
        <w:rPr>
          <w:rFonts w:eastAsiaTheme="minorHAnsi" w:cs="Arial"/>
          <w:sz w:val="25"/>
        </w:rPr>
        <w:lastRenderedPageBreak/>
        <w:t xml:space="preserve">Best start in life for young children </w:t>
      </w:r>
    </w:p>
    <w:p w14:paraId="35A00359" w14:textId="5154474B" w:rsidR="00F00E4F" w:rsidRPr="0011239F" w:rsidRDefault="00F00E4F" w:rsidP="0078606A">
      <w:pPr>
        <w:pStyle w:val="Bullet1"/>
        <w:spacing w:before="80"/>
        <w:rPr>
          <w:b/>
        </w:rPr>
      </w:pPr>
      <w:r w:rsidRPr="0011239F">
        <w:t>$526.7 million in 2019-20 (recurrent expenses). This includes the Start Strong program to support preschool education</w:t>
      </w:r>
      <w:r w:rsidR="00F041AA">
        <w:t xml:space="preserve"> across New South Wales, in both community </w:t>
      </w:r>
      <w:r w:rsidRPr="0011239F">
        <w:t xml:space="preserve">preschools and long day care centres. Funding support will be provided </w:t>
      </w:r>
      <w:r w:rsidR="00F041AA">
        <w:t xml:space="preserve">for </w:t>
      </w:r>
      <w:r w:rsidRPr="0011239F">
        <w:t xml:space="preserve">all three-year </w:t>
      </w:r>
      <w:proofErr w:type="spellStart"/>
      <w:r w:rsidRPr="0011239F">
        <w:t>olds</w:t>
      </w:r>
      <w:proofErr w:type="spellEnd"/>
      <w:r w:rsidRPr="0011239F">
        <w:t xml:space="preserve"> in community preschools from 1 January 2019</w:t>
      </w:r>
      <w:r w:rsidR="00F041AA">
        <w:t>. Th</w:t>
      </w:r>
      <w:r w:rsidR="00BB4F99">
        <w:t>is</w:t>
      </w:r>
      <w:r w:rsidR="00F041AA">
        <w:t xml:space="preserve"> funding will support </w:t>
      </w:r>
      <w:r w:rsidRPr="0011239F">
        <w:t>universal access to two years of early childhood education</w:t>
      </w:r>
      <w:r w:rsidR="00F041AA">
        <w:t xml:space="preserve">, </w:t>
      </w:r>
      <w:r w:rsidRPr="0011239F">
        <w:t>continu</w:t>
      </w:r>
      <w:r w:rsidR="00F041AA">
        <w:t>ing</w:t>
      </w:r>
      <w:r w:rsidRPr="0011239F">
        <w:t xml:space="preserve"> a commitment made in the 2018-19 Budget</w:t>
      </w:r>
    </w:p>
    <w:p w14:paraId="620BE0F5" w14:textId="24CFF45E" w:rsidR="00E87BD1" w:rsidRPr="0011239F" w:rsidRDefault="002A08F5" w:rsidP="0078606A">
      <w:pPr>
        <w:pStyle w:val="Bullet1"/>
        <w:spacing w:before="80"/>
        <w:rPr>
          <w:b/>
        </w:rPr>
      </w:pPr>
      <w:r w:rsidRPr="0011239F">
        <w:t xml:space="preserve">$20 million over four years for new and existing community preschools to build, renovate or extend their facilities to cater for increasing enrolments across the </w:t>
      </w:r>
      <w:r w:rsidR="002006CC" w:rsidRPr="0011239F">
        <w:t>s</w:t>
      </w:r>
      <w:r w:rsidRPr="0011239F">
        <w:t>tate</w:t>
      </w:r>
    </w:p>
    <w:p w14:paraId="56725337" w14:textId="3F1D770C" w:rsidR="004A31F7" w:rsidRPr="0011239F" w:rsidRDefault="004A31F7" w:rsidP="0078606A">
      <w:pPr>
        <w:pStyle w:val="Bullet1"/>
        <w:spacing w:before="80"/>
      </w:pPr>
      <w:r w:rsidRPr="0011239F">
        <w:t>$1.8 million over two years to support Playgroup NSW to establish ‘Play Strong’ playgroups to support early learning pathways for vulnerable communities across New</w:t>
      </w:r>
      <w:r w:rsidR="0078606A" w:rsidRPr="0011239F">
        <w:t> </w:t>
      </w:r>
      <w:r w:rsidRPr="0011239F">
        <w:t>South Wales</w:t>
      </w:r>
      <w:r w:rsidR="002D5733" w:rsidRPr="0011239F">
        <w:t>.</w:t>
      </w:r>
    </w:p>
    <w:p w14:paraId="4B6B558E" w14:textId="77777777" w:rsidR="00F00E4F" w:rsidRPr="0011239F" w:rsidRDefault="00F00E4F" w:rsidP="00F402F7">
      <w:pPr>
        <w:pStyle w:val="Heading5"/>
        <w:spacing w:before="160"/>
        <w:rPr>
          <w:rFonts w:eastAsiaTheme="minorHAnsi" w:cs="Arial"/>
          <w:sz w:val="25"/>
        </w:rPr>
      </w:pPr>
      <w:r w:rsidRPr="0011239F">
        <w:rPr>
          <w:rFonts w:eastAsiaTheme="minorHAnsi" w:cs="Arial"/>
          <w:sz w:val="25"/>
        </w:rPr>
        <w:t>Equipping teachers with the best skills for educating our young people</w:t>
      </w:r>
    </w:p>
    <w:p w14:paraId="6FBE06EB" w14:textId="77777777" w:rsidR="00F00E4F" w:rsidRPr="0011239F" w:rsidRDefault="00F00E4F">
      <w:pPr>
        <w:pStyle w:val="Bullet1"/>
        <w:rPr>
          <w:b/>
        </w:rPr>
      </w:pPr>
      <w:r w:rsidRPr="0011239F">
        <w:t xml:space="preserve">$146.2 million in 2019-20, including for the administration of the Higher School Certificate and NAPLAN in government and non-government schools. </w:t>
      </w:r>
    </w:p>
    <w:p w14:paraId="00F10830" w14:textId="348D108B" w:rsidR="001326D1" w:rsidRPr="0011239F" w:rsidRDefault="001326D1" w:rsidP="00F402F7">
      <w:pPr>
        <w:pStyle w:val="Heading5"/>
        <w:spacing w:before="160"/>
        <w:rPr>
          <w:rFonts w:eastAsiaTheme="minorHAnsi" w:cs="Arial"/>
          <w:sz w:val="25"/>
        </w:rPr>
      </w:pPr>
      <w:r w:rsidRPr="0011239F">
        <w:rPr>
          <w:rFonts w:eastAsiaTheme="minorHAnsi" w:cs="Arial"/>
          <w:sz w:val="25"/>
        </w:rPr>
        <w:t>Skilled and employable workforce</w:t>
      </w:r>
    </w:p>
    <w:p w14:paraId="03F766A9" w14:textId="7B6E0B85" w:rsidR="00F00E4F" w:rsidRPr="0011239F" w:rsidRDefault="00F00E4F" w:rsidP="0078606A">
      <w:pPr>
        <w:pStyle w:val="Bullet1"/>
        <w:spacing w:before="80"/>
        <w:rPr>
          <w:noProof/>
        </w:rPr>
      </w:pPr>
      <w:r w:rsidRPr="0011239F">
        <w:t xml:space="preserve">$2.4 billion in 2019-20 ($2.3 billion recurrent expenses and $137.5 million capital expenditure) to </w:t>
      </w:r>
      <w:r w:rsidR="00B0442E" w:rsidRPr="0011239F">
        <w:t xml:space="preserve">support TAFE NSW and support vocational education and training across New South Wales </w:t>
      </w:r>
    </w:p>
    <w:p w14:paraId="1AAFEA5B" w14:textId="47BCE607" w:rsidR="00A2771C" w:rsidRPr="0011239F" w:rsidRDefault="00A2771C" w:rsidP="0078606A">
      <w:pPr>
        <w:pStyle w:val="Bullet1"/>
        <w:spacing w:before="80"/>
      </w:pPr>
      <w:r w:rsidRPr="0011239F">
        <w:t>$79.6 million over four years to deliver a new TAFE super campus for Western Sydney specialising in construction trades</w:t>
      </w:r>
    </w:p>
    <w:p w14:paraId="639E32AE" w14:textId="16520F51" w:rsidR="009E4EFE" w:rsidRPr="0011239F" w:rsidRDefault="0059064B" w:rsidP="0078606A">
      <w:pPr>
        <w:pStyle w:val="Bullet1"/>
        <w:spacing w:before="80"/>
      </w:pPr>
      <w:r w:rsidRPr="0011239F">
        <w:t>$</w:t>
      </w:r>
      <w:r w:rsidR="009E4EFE" w:rsidRPr="0011239F">
        <w:t>7</w:t>
      </w:r>
      <w:r w:rsidR="003634CC" w:rsidRPr="0011239F">
        <w:t>1</w:t>
      </w:r>
      <w:r w:rsidR="009E4EFE" w:rsidRPr="0011239F">
        <w:t xml:space="preserve"> million over four years for an additional 100,000 free TAFE and VET courses, including 70,000 fee-free courses for young job-seekers combining work and study through a traineeship</w:t>
      </w:r>
      <w:r w:rsidR="003607F1" w:rsidRPr="0011239F">
        <w:t>,</w:t>
      </w:r>
      <w:r w:rsidR="009E4EFE" w:rsidRPr="0011239F">
        <w:t xml:space="preserve"> and 30,000 free TAFE places for mature-aged workers seeking to retrain or re</w:t>
      </w:r>
      <w:r w:rsidR="00BB4F99">
        <w:noBreakHyphen/>
      </w:r>
      <w:r w:rsidR="009E4EFE" w:rsidRPr="0011239F">
        <w:t>enter the workforce</w:t>
      </w:r>
    </w:p>
    <w:p w14:paraId="757E770E" w14:textId="2A609614" w:rsidR="003607F1" w:rsidRPr="0011239F" w:rsidRDefault="003607F1" w:rsidP="0078606A">
      <w:pPr>
        <w:pStyle w:val="Bullet1"/>
        <w:spacing w:before="80"/>
      </w:pPr>
      <w:r w:rsidRPr="0011239F">
        <w:t xml:space="preserve">$61.7 million over four years to construct eight new TAFE Connected Learning Centres in rural and regional locations, including at Byron Bay, Nelson Bay, Batemans Bay, Jindabyne, Nambucca Heads, Hay, Cobar and West Wyalong </w:t>
      </w:r>
    </w:p>
    <w:p w14:paraId="63F63B3C" w14:textId="27E6744B" w:rsidR="00197D17" w:rsidRPr="0011239F" w:rsidRDefault="00197D17" w:rsidP="0078606A">
      <w:pPr>
        <w:pStyle w:val="Bullet1"/>
        <w:spacing w:before="80"/>
      </w:pPr>
      <w:r w:rsidRPr="0011239F">
        <w:t>$</w:t>
      </w:r>
      <w:r w:rsidR="007A01CC" w:rsidRPr="0011239F">
        <w:t>5</w:t>
      </w:r>
      <w:r w:rsidRPr="0011239F">
        <w:t>.9 million over four years to offer online courses for women to build their financial literacy and business start</w:t>
      </w:r>
      <w:r w:rsidR="00B0442E" w:rsidRPr="0011239F">
        <w:t>-</w:t>
      </w:r>
      <w:r w:rsidRPr="0011239F">
        <w:t>up skills, together with mentoring, networking and coaching opportunities</w:t>
      </w:r>
      <w:r w:rsidR="00B0442E" w:rsidRPr="0011239F">
        <w:t xml:space="preserve"> from January 2020</w:t>
      </w:r>
      <w:r w:rsidR="00A266B0">
        <w:t>.</w:t>
      </w:r>
    </w:p>
    <w:p w14:paraId="2C054649" w14:textId="60003B88" w:rsidR="007779B3" w:rsidRPr="0011239F" w:rsidRDefault="007779B3" w:rsidP="00C36202">
      <w:pPr>
        <w:pStyle w:val="Heading2"/>
        <w:rPr>
          <w:rFonts w:ascii="Arial" w:hAnsi="Arial" w:cs="Arial"/>
        </w:rPr>
      </w:pPr>
      <w:bookmarkStart w:id="9" w:name="_Hlk9845602"/>
      <w:r w:rsidRPr="0011239F">
        <w:rPr>
          <w:rFonts w:ascii="Arial" w:hAnsi="Arial" w:cs="Arial"/>
        </w:rPr>
        <w:t>Machinery of Government</w:t>
      </w:r>
      <w:r w:rsidR="00892C0C" w:rsidRPr="0011239F">
        <w:rPr>
          <w:rFonts w:ascii="Arial" w:hAnsi="Arial" w:cs="Arial"/>
        </w:rPr>
        <w:t xml:space="preserve"> </w:t>
      </w:r>
    </w:p>
    <w:p w14:paraId="068D4D89" w14:textId="52E3043D" w:rsidR="00773445" w:rsidRPr="0011239F" w:rsidRDefault="00773445" w:rsidP="00383B36">
      <w:pPr>
        <w:pStyle w:val="BodyText"/>
      </w:pPr>
      <w:r w:rsidRPr="0011239F">
        <w:t xml:space="preserve">Under the </w:t>
      </w:r>
      <w:r w:rsidRPr="005B0A89">
        <w:rPr>
          <w:i/>
        </w:rPr>
        <w:t>Administrative Arrangements (Administrative Changes</w:t>
      </w:r>
      <w:r w:rsidR="0081237D">
        <w:rPr>
          <w:i/>
        </w:rPr>
        <w:t xml:space="preserve"> </w:t>
      </w:r>
      <w:r w:rsidRPr="005B0A89">
        <w:rPr>
          <w:i/>
        </w:rPr>
        <w:t>- Public Service Agencies) Order 2019</w:t>
      </w:r>
      <w:r w:rsidRPr="0011239F">
        <w:t>, the following changes to the Education cluster are effective 1 July 2019:</w:t>
      </w:r>
    </w:p>
    <w:p w14:paraId="75E42602" w14:textId="12F39DA8" w:rsidR="00773445" w:rsidRPr="0011239F" w:rsidRDefault="00407378" w:rsidP="0078606A">
      <w:pPr>
        <w:pStyle w:val="Bullet1"/>
        <w:spacing w:before="80"/>
        <w:rPr>
          <w:lang w:val="en-US"/>
        </w:rPr>
      </w:pPr>
      <w:r w:rsidRPr="0011239F">
        <w:rPr>
          <w:lang w:val="en-US"/>
        </w:rPr>
        <w:t>t</w:t>
      </w:r>
      <w:r w:rsidR="00773445" w:rsidRPr="0011239F">
        <w:rPr>
          <w:lang w:val="en-US"/>
        </w:rPr>
        <w:t>he following functions and agency transfer from the former Industry cluster</w:t>
      </w:r>
      <w:r w:rsidR="00CD4B08" w:rsidRPr="0011239F">
        <w:rPr>
          <w:lang w:val="en-US"/>
        </w:rPr>
        <w:t xml:space="preserve"> into the Education cluster</w:t>
      </w:r>
      <w:r w:rsidR="00773445" w:rsidRPr="0011239F">
        <w:rPr>
          <w:lang w:val="en-US"/>
        </w:rPr>
        <w:t>:</w:t>
      </w:r>
    </w:p>
    <w:p w14:paraId="4C92FF21" w14:textId="26F3FA98" w:rsidR="00773445" w:rsidRPr="0011239F" w:rsidRDefault="00773445" w:rsidP="00C828F2">
      <w:pPr>
        <w:pStyle w:val="Bullet2"/>
        <w:rPr>
          <w:rFonts w:eastAsia="Calibri"/>
          <w:lang w:val="en-US"/>
        </w:rPr>
      </w:pPr>
      <w:r w:rsidRPr="0011239F">
        <w:t>TAFE</w:t>
      </w:r>
      <w:r w:rsidRPr="0011239F">
        <w:rPr>
          <w:rFonts w:eastAsia="Calibri"/>
          <w:lang w:val="en-US"/>
        </w:rPr>
        <w:t xml:space="preserve"> Commission</w:t>
      </w:r>
    </w:p>
    <w:p w14:paraId="3E527E1D" w14:textId="78E15469" w:rsidR="00773445" w:rsidRPr="0011239F" w:rsidRDefault="00C23449" w:rsidP="00C828F2">
      <w:pPr>
        <w:pStyle w:val="Bullet2"/>
        <w:rPr>
          <w:rFonts w:eastAsia="Calibri"/>
          <w:lang w:val="en-US"/>
        </w:rPr>
      </w:pPr>
      <w:r w:rsidRPr="0011239F">
        <w:rPr>
          <w:rFonts w:eastAsia="Calibri"/>
          <w:lang w:val="en-US"/>
        </w:rPr>
        <w:t>t</w:t>
      </w:r>
      <w:r w:rsidR="00773445" w:rsidRPr="0011239F">
        <w:rPr>
          <w:rFonts w:eastAsia="Calibri"/>
          <w:lang w:val="en-US"/>
        </w:rPr>
        <w:t xml:space="preserve">he other functions of the former Industry cluster </w:t>
      </w:r>
      <w:r w:rsidR="000228E6" w:rsidRPr="0011239F">
        <w:rPr>
          <w:rFonts w:eastAsia="Calibri"/>
          <w:lang w:val="en-US"/>
        </w:rPr>
        <w:t xml:space="preserve">associated with </w:t>
      </w:r>
      <w:r w:rsidR="00773445" w:rsidRPr="0011239F">
        <w:rPr>
          <w:rFonts w:eastAsia="Calibri"/>
          <w:lang w:val="en-US"/>
        </w:rPr>
        <w:t>the administration of legislation allocated to the Minister for Skills and Tertiary Education</w:t>
      </w:r>
    </w:p>
    <w:p w14:paraId="2E5F9AF4" w14:textId="4BCD66F8" w:rsidR="00E27C10" w:rsidRPr="0011239F" w:rsidRDefault="00773445" w:rsidP="00C36202">
      <w:pPr>
        <w:pStyle w:val="Bullet1"/>
      </w:pPr>
      <w:r w:rsidRPr="0011239F">
        <w:t xml:space="preserve">Aboriginal Affairs NSW transfers </w:t>
      </w:r>
      <w:r w:rsidR="007009F8" w:rsidRPr="0011239F">
        <w:t xml:space="preserve">from the Education cluster </w:t>
      </w:r>
      <w:r w:rsidR="000228E6" w:rsidRPr="0011239F">
        <w:t xml:space="preserve">to </w:t>
      </w:r>
      <w:r w:rsidRPr="0011239F">
        <w:t xml:space="preserve">the Premier and Cabinet cluster. </w:t>
      </w:r>
      <w:bookmarkEnd w:id="9"/>
      <w:r w:rsidR="00E27C10" w:rsidRPr="0011239F">
        <w:br w:type="page"/>
      </w:r>
    </w:p>
    <w:p w14:paraId="3E9CB193" w14:textId="49FA9CD6" w:rsidR="0082647D" w:rsidRPr="0011239F" w:rsidRDefault="0082647D" w:rsidP="00C36202">
      <w:pPr>
        <w:pStyle w:val="Heading2"/>
        <w:rPr>
          <w:rFonts w:ascii="Arial" w:hAnsi="Arial" w:cs="Arial"/>
        </w:rPr>
      </w:pPr>
      <w:r w:rsidRPr="0011239F">
        <w:rPr>
          <w:rFonts w:ascii="Arial" w:hAnsi="Arial" w:cs="Arial"/>
        </w:rPr>
        <w:lastRenderedPageBreak/>
        <w:t>Overview of cluster expenses by State Outcome</w:t>
      </w:r>
    </w:p>
    <w:p w14:paraId="1C553177" w14:textId="1D24237E" w:rsidR="0082647D" w:rsidRPr="0011239F" w:rsidRDefault="0082647D" w:rsidP="0076094B">
      <w:pPr>
        <w:pStyle w:val="BodyText"/>
      </w:pPr>
      <w:r w:rsidRPr="0011239F">
        <w:rPr>
          <w:rFonts w:eastAsiaTheme="minorHAnsi"/>
        </w:rPr>
        <w:t>A summary of expenses by State Outcome is provided in the chart</w:t>
      </w:r>
      <w:r w:rsidR="00F507DE" w:rsidRPr="0011239F">
        <w:rPr>
          <w:rFonts w:eastAsiaTheme="minorHAnsi"/>
        </w:rPr>
        <w:t>s</w:t>
      </w:r>
      <w:r w:rsidRPr="0011239F">
        <w:rPr>
          <w:rFonts w:eastAsiaTheme="minorHAnsi"/>
        </w:rPr>
        <w:t xml:space="preserve"> below.</w:t>
      </w:r>
    </w:p>
    <w:p w14:paraId="0B576CA3" w14:textId="72B62783" w:rsidR="0082647D" w:rsidRPr="0011239F" w:rsidRDefault="0082647D" w:rsidP="00383B36">
      <w:pPr>
        <w:pStyle w:val="Chart5X"/>
        <w:ind w:left="0" w:firstLine="0"/>
        <w:rPr>
          <w:rFonts w:cs="Arial"/>
          <w:bCs w:val="0"/>
          <w:iCs/>
        </w:rPr>
      </w:pPr>
      <w:r w:rsidRPr="0011239F">
        <w:rPr>
          <w:rFonts w:cs="Arial"/>
          <w:bCs w:val="0"/>
          <w:iCs/>
        </w:rPr>
        <w:t>Recurrent expenses</w:t>
      </w:r>
      <w:r w:rsidR="001D4DF8" w:rsidRPr="0011239F">
        <w:rPr>
          <w:rFonts w:cs="Arial"/>
          <w:bCs w:val="0"/>
          <w:iCs/>
          <w:vertAlign w:val="superscript"/>
        </w:rPr>
        <w:t>(a)</w:t>
      </w:r>
      <w:r w:rsidRPr="0011239F">
        <w:rPr>
          <w:rFonts w:cs="Arial"/>
          <w:bCs w:val="0"/>
          <w:iCs/>
        </w:rPr>
        <w:t xml:space="preserve"> by outcome 2019-20 (</w:t>
      </w:r>
      <w:r w:rsidR="002C60C2" w:rsidRPr="0011239F">
        <w:rPr>
          <w:rFonts w:cs="Arial"/>
          <w:bCs w:val="0"/>
          <w:iCs/>
        </w:rPr>
        <w:t xml:space="preserve">dollars and </w:t>
      </w:r>
      <w:r w:rsidRPr="0011239F">
        <w:rPr>
          <w:rFonts w:cs="Arial"/>
          <w:bCs w:val="0"/>
          <w:iCs/>
        </w:rPr>
        <w:t>%)</w:t>
      </w:r>
    </w:p>
    <w:p w14:paraId="33EF6ADA" w14:textId="47E87B2E" w:rsidR="0082647D" w:rsidRPr="0011239F" w:rsidRDefault="0016608D" w:rsidP="00010B2D">
      <w:pPr>
        <w:adjustRightInd w:val="0"/>
        <w:spacing w:after="120"/>
        <w:rPr>
          <w:rFonts w:ascii="Arial" w:hAnsi="Arial" w:cs="Arial"/>
          <w:i/>
          <w:sz w:val="23"/>
          <w:szCs w:val="23"/>
        </w:rPr>
      </w:pPr>
      <w:r w:rsidRPr="0011239F">
        <w:rPr>
          <w:rFonts w:ascii="Arial" w:hAnsi="Arial" w:cs="Arial"/>
          <w:i/>
          <w:sz w:val="23"/>
          <w:szCs w:val="23"/>
        </w:rPr>
        <w:t xml:space="preserve">         </w:t>
      </w:r>
      <w:r w:rsidR="009A383B" w:rsidRPr="0011239F">
        <w:rPr>
          <w:rFonts w:ascii="Arial" w:hAnsi="Arial" w:cs="Arial"/>
          <w:noProof/>
        </w:rPr>
        <w:drawing>
          <wp:inline distT="0" distB="0" distL="0" distR="0" wp14:anchorId="3CCA71D2" wp14:editId="0010C7F1">
            <wp:extent cx="5781774" cy="3223418"/>
            <wp:effectExtent l="0" t="0" r="0" b="0"/>
            <wp:docPr id="1" name="Chart 1" descr="Chart 2.1:  Recurrent expenses(a) by outcome 2019-20 (dollars and %)">
              <a:extLst xmlns:a="http://schemas.openxmlformats.org/drawingml/2006/main">
                <a:ext uri="{FF2B5EF4-FFF2-40B4-BE49-F238E27FC236}">
                  <a16:creationId xmlns:a16="http://schemas.microsoft.com/office/drawing/2014/main" id="{E78E39E0-740B-4022-9A02-9BDD73E1C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3A3576" w14:textId="67670BF8" w:rsidR="001D4DF8" w:rsidRPr="0011239F" w:rsidRDefault="001D4DF8" w:rsidP="00C36202">
      <w:pPr>
        <w:pStyle w:val="ListParagraph"/>
        <w:numPr>
          <w:ilvl w:val="0"/>
          <w:numId w:val="47"/>
        </w:numPr>
        <w:autoSpaceDE w:val="0"/>
        <w:autoSpaceDN w:val="0"/>
        <w:adjustRightInd w:val="0"/>
        <w:ind w:left="426"/>
        <w:rPr>
          <w:rFonts w:cs="Arial"/>
          <w:color w:val="000000"/>
          <w:sz w:val="17"/>
          <w:szCs w:val="17"/>
          <w:lang w:eastAsia="zh-TW"/>
        </w:rPr>
      </w:pPr>
      <w:r w:rsidRPr="0011239F">
        <w:rPr>
          <w:rFonts w:cs="Arial"/>
          <w:color w:val="000000"/>
          <w:sz w:val="17"/>
          <w:szCs w:val="17"/>
          <w:lang w:eastAsia="zh-TW"/>
        </w:rPr>
        <w:t>The figures in the above chart are cluster eliminated expenses due to material intra-cluster payments to TAFE</w:t>
      </w:r>
      <w:r w:rsidR="000B54D1" w:rsidRPr="0011239F">
        <w:rPr>
          <w:rFonts w:cs="Arial"/>
          <w:color w:val="000000"/>
          <w:sz w:val="17"/>
          <w:szCs w:val="17"/>
          <w:lang w:eastAsia="zh-TW"/>
        </w:rPr>
        <w:t xml:space="preserve"> NSW</w:t>
      </w:r>
    </w:p>
    <w:p w14:paraId="0A3DC0A8" w14:textId="5CBD5A33" w:rsidR="004975AB" w:rsidRPr="0011239F" w:rsidRDefault="004975AB" w:rsidP="004975AB">
      <w:pPr>
        <w:pStyle w:val="ListParagraph"/>
        <w:numPr>
          <w:ilvl w:val="0"/>
          <w:numId w:val="47"/>
        </w:numPr>
        <w:autoSpaceDE w:val="0"/>
        <w:autoSpaceDN w:val="0"/>
        <w:adjustRightInd w:val="0"/>
        <w:ind w:left="426"/>
        <w:rPr>
          <w:rFonts w:cs="Arial"/>
          <w:color w:val="000000"/>
          <w:sz w:val="17"/>
          <w:szCs w:val="17"/>
          <w:lang w:eastAsia="zh-TW"/>
        </w:rPr>
      </w:pPr>
      <w:r w:rsidRPr="0011239F">
        <w:rPr>
          <w:rFonts w:cs="Arial"/>
          <w:color w:val="000000"/>
          <w:sz w:val="17"/>
          <w:szCs w:val="17"/>
          <w:lang w:eastAsia="zh-TW"/>
        </w:rPr>
        <w:t>Grouped for presentation purposes, “Other State Outcomes” comprises:</w:t>
      </w:r>
    </w:p>
    <w:p w14:paraId="0D133694" w14:textId="3FE22597" w:rsidR="004975AB" w:rsidRPr="0011239F" w:rsidRDefault="004975AB" w:rsidP="004975AB">
      <w:pPr>
        <w:pStyle w:val="ListParagraph"/>
        <w:numPr>
          <w:ilvl w:val="0"/>
          <w:numId w:val="48"/>
        </w:numPr>
        <w:autoSpaceDE w:val="0"/>
        <w:autoSpaceDN w:val="0"/>
        <w:adjustRightInd w:val="0"/>
        <w:ind w:hanging="294"/>
        <w:rPr>
          <w:rFonts w:cs="Arial"/>
          <w:color w:val="000000"/>
          <w:sz w:val="17"/>
          <w:szCs w:val="17"/>
          <w:lang w:eastAsia="zh-TW"/>
        </w:rPr>
      </w:pPr>
      <w:r w:rsidRPr="0011239F">
        <w:rPr>
          <w:rFonts w:cs="Arial"/>
          <w:color w:val="000000"/>
          <w:sz w:val="17"/>
          <w:szCs w:val="17"/>
          <w:lang w:eastAsia="zh-TW"/>
        </w:rPr>
        <w:t>Best start in life for young children</w:t>
      </w:r>
    </w:p>
    <w:p w14:paraId="56673011" w14:textId="3C297FD9" w:rsidR="004975AB" w:rsidRPr="0011239F" w:rsidRDefault="004975AB" w:rsidP="004975AB">
      <w:pPr>
        <w:pStyle w:val="ListParagraph"/>
        <w:numPr>
          <w:ilvl w:val="0"/>
          <w:numId w:val="48"/>
        </w:numPr>
        <w:autoSpaceDE w:val="0"/>
        <w:autoSpaceDN w:val="0"/>
        <w:adjustRightInd w:val="0"/>
        <w:ind w:hanging="294"/>
        <w:rPr>
          <w:rFonts w:cs="Arial"/>
          <w:color w:val="000000"/>
          <w:sz w:val="17"/>
          <w:szCs w:val="17"/>
          <w:lang w:eastAsia="zh-TW"/>
        </w:rPr>
      </w:pPr>
      <w:r w:rsidRPr="0011239F">
        <w:rPr>
          <w:rFonts w:cs="Arial"/>
          <w:color w:val="000000"/>
          <w:sz w:val="17"/>
          <w:szCs w:val="17"/>
          <w:lang w:eastAsia="zh-TW"/>
        </w:rPr>
        <w:t>Equipping teachers with the best skills for educating our young people</w:t>
      </w:r>
      <w:r w:rsidR="0016608D" w:rsidRPr="0011239F">
        <w:rPr>
          <w:rFonts w:cs="Arial"/>
          <w:color w:val="000000"/>
          <w:sz w:val="17"/>
          <w:szCs w:val="17"/>
          <w:lang w:eastAsia="zh-TW"/>
        </w:rPr>
        <w:t>.</w:t>
      </w:r>
    </w:p>
    <w:p w14:paraId="406949F2" w14:textId="2C1FC0DD" w:rsidR="0082647D" w:rsidRPr="0011239F" w:rsidRDefault="0082647D" w:rsidP="00383B36">
      <w:pPr>
        <w:pStyle w:val="Chart5X"/>
        <w:rPr>
          <w:rFonts w:cs="Arial"/>
        </w:rPr>
      </w:pPr>
      <w:r w:rsidRPr="0011239F">
        <w:rPr>
          <w:rFonts w:cs="Arial"/>
        </w:rPr>
        <w:t>Capital expenditure</w:t>
      </w:r>
      <w:r w:rsidR="001D4DF8" w:rsidRPr="0011239F">
        <w:rPr>
          <w:rFonts w:cs="Arial"/>
          <w:vertAlign w:val="superscript"/>
        </w:rPr>
        <w:t>(c)</w:t>
      </w:r>
      <w:r w:rsidRPr="0011239F">
        <w:rPr>
          <w:rFonts w:cs="Arial"/>
        </w:rPr>
        <w:t xml:space="preserve"> by outcome 2019-20 (</w:t>
      </w:r>
      <w:r w:rsidR="002C60C2" w:rsidRPr="0011239F">
        <w:rPr>
          <w:rFonts w:cs="Arial"/>
        </w:rPr>
        <w:t xml:space="preserve">dollars and </w:t>
      </w:r>
      <w:r w:rsidRPr="0011239F">
        <w:rPr>
          <w:rFonts w:cs="Arial"/>
        </w:rPr>
        <w:t>%)</w:t>
      </w:r>
    </w:p>
    <w:p w14:paraId="22469E8F" w14:textId="1ACA154B" w:rsidR="0082647D" w:rsidRPr="0011239F" w:rsidRDefault="00B42DC0" w:rsidP="00B42DC0">
      <w:pPr>
        <w:autoSpaceDE w:val="0"/>
        <w:autoSpaceDN w:val="0"/>
        <w:rPr>
          <w:rFonts w:ascii="Arial" w:hAnsi="Arial" w:cs="Arial"/>
          <w:sz w:val="17"/>
          <w:szCs w:val="17"/>
          <w:lang w:eastAsia="zh-TW"/>
        </w:rPr>
      </w:pPr>
      <w:r w:rsidRPr="0011239F">
        <w:rPr>
          <w:rFonts w:ascii="Arial" w:hAnsi="Arial" w:cs="Arial"/>
          <w:sz w:val="17"/>
          <w:szCs w:val="17"/>
          <w:lang w:eastAsia="zh-TW"/>
        </w:rPr>
        <w:t xml:space="preserve">            </w:t>
      </w:r>
      <w:r w:rsidR="009A383B" w:rsidRPr="0011239F">
        <w:rPr>
          <w:rFonts w:ascii="Arial" w:hAnsi="Arial" w:cs="Arial"/>
          <w:noProof/>
        </w:rPr>
        <w:drawing>
          <wp:inline distT="0" distB="0" distL="0" distR="0" wp14:anchorId="559F9910" wp14:editId="2EE56DBE">
            <wp:extent cx="5781774" cy="3231336"/>
            <wp:effectExtent l="0" t="0" r="0" b="7620"/>
            <wp:docPr id="3" name="Chart 3" descr="Chart 2.2:  Capital expenditure(c) by outcome 2019-20 (dollars and %)">
              <a:extLst xmlns:a="http://schemas.openxmlformats.org/drawingml/2006/main">
                <a:ext uri="{FF2B5EF4-FFF2-40B4-BE49-F238E27FC236}">
                  <a16:creationId xmlns:a16="http://schemas.microsoft.com/office/drawing/2014/main" id="{9D2D6C01-8340-4CD4-A32D-9A5A9F362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016E1F" w14:textId="4F081E16" w:rsidR="001D4DF8" w:rsidRPr="0011239F" w:rsidRDefault="001D4DF8" w:rsidP="001D4DF8">
      <w:pPr>
        <w:pStyle w:val="ListParagraph"/>
        <w:numPr>
          <w:ilvl w:val="0"/>
          <w:numId w:val="47"/>
        </w:numPr>
        <w:autoSpaceDE w:val="0"/>
        <w:autoSpaceDN w:val="0"/>
        <w:adjustRightInd w:val="0"/>
        <w:ind w:left="426"/>
        <w:rPr>
          <w:rFonts w:cs="Arial"/>
          <w:color w:val="000000"/>
          <w:sz w:val="17"/>
          <w:szCs w:val="17"/>
          <w:lang w:eastAsia="zh-TW"/>
        </w:rPr>
      </w:pPr>
      <w:r w:rsidRPr="0011239F">
        <w:rPr>
          <w:rFonts w:cs="Arial"/>
          <w:color w:val="000000"/>
          <w:sz w:val="17"/>
          <w:szCs w:val="17"/>
          <w:lang w:eastAsia="zh-TW"/>
        </w:rPr>
        <w:t>The figures in the above chart are cluster eliminated expenses due to intra-cluster payments to TAFE</w:t>
      </w:r>
      <w:r w:rsidR="000B54D1" w:rsidRPr="0011239F">
        <w:rPr>
          <w:rFonts w:cs="Arial"/>
          <w:color w:val="000000"/>
          <w:sz w:val="17"/>
          <w:szCs w:val="17"/>
          <w:lang w:eastAsia="zh-TW"/>
        </w:rPr>
        <w:t xml:space="preserve"> NSW</w:t>
      </w:r>
    </w:p>
    <w:p w14:paraId="5A663686" w14:textId="74F0D3FC" w:rsidR="004975AB" w:rsidRPr="0011239F" w:rsidRDefault="004975AB" w:rsidP="00C36202">
      <w:pPr>
        <w:pStyle w:val="ListParagraph"/>
        <w:numPr>
          <w:ilvl w:val="0"/>
          <w:numId w:val="47"/>
        </w:numPr>
        <w:autoSpaceDE w:val="0"/>
        <w:autoSpaceDN w:val="0"/>
        <w:adjustRightInd w:val="0"/>
        <w:ind w:left="426"/>
        <w:rPr>
          <w:rFonts w:cs="Arial"/>
          <w:color w:val="000000"/>
          <w:sz w:val="17"/>
          <w:szCs w:val="17"/>
          <w:lang w:eastAsia="zh-TW"/>
        </w:rPr>
      </w:pPr>
      <w:r w:rsidRPr="0011239F">
        <w:rPr>
          <w:rFonts w:cs="Arial"/>
          <w:color w:val="000000"/>
          <w:sz w:val="17"/>
          <w:szCs w:val="17"/>
          <w:lang w:eastAsia="zh-TW"/>
        </w:rPr>
        <w:t>Grouped for presentation purposes, “Other State Outcomes” comprises:</w:t>
      </w:r>
    </w:p>
    <w:p w14:paraId="15D9C15A" w14:textId="5DDB47C6" w:rsidR="004975AB" w:rsidRPr="0011239F" w:rsidRDefault="004975AB" w:rsidP="004975AB">
      <w:pPr>
        <w:pStyle w:val="ListParagraph"/>
        <w:numPr>
          <w:ilvl w:val="0"/>
          <w:numId w:val="48"/>
        </w:numPr>
        <w:autoSpaceDE w:val="0"/>
        <w:autoSpaceDN w:val="0"/>
        <w:adjustRightInd w:val="0"/>
        <w:ind w:hanging="294"/>
        <w:rPr>
          <w:rFonts w:cs="Arial"/>
          <w:color w:val="000000"/>
          <w:sz w:val="17"/>
          <w:szCs w:val="17"/>
          <w:lang w:eastAsia="zh-TW"/>
        </w:rPr>
      </w:pPr>
      <w:r w:rsidRPr="0011239F">
        <w:rPr>
          <w:rFonts w:cs="Arial"/>
          <w:color w:val="000000"/>
          <w:sz w:val="17"/>
          <w:szCs w:val="17"/>
          <w:lang w:eastAsia="zh-TW"/>
        </w:rPr>
        <w:t>Equipping teachers with the best skills for educating our young people</w:t>
      </w:r>
    </w:p>
    <w:p w14:paraId="0C423729" w14:textId="286C135D" w:rsidR="00570412" w:rsidRPr="0011239F" w:rsidRDefault="004975AB" w:rsidP="00C36202">
      <w:pPr>
        <w:pStyle w:val="ListParagraph"/>
        <w:numPr>
          <w:ilvl w:val="0"/>
          <w:numId w:val="48"/>
        </w:numPr>
        <w:autoSpaceDE w:val="0"/>
        <w:autoSpaceDN w:val="0"/>
        <w:adjustRightInd w:val="0"/>
        <w:ind w:hanging="294"/>
        <w:rPr>
          <w:rFonts w:cs="Arial"/>
          <w:color w:val="000000"/>
          <w:sz w:val="17"/>
          <w:szCs w:val="17"/>
          <w:lang w:eastAsia="zh-TW"/>
        </w:rPr>
      </w:pPr>
      <w:r w:rsidRPr="0011239F">
        <w:rPr>
          <w:rFonts w:cs="Arial"/>
          <w:color w:val="000000"/>
          <w:sz w:val="17"/>
          <w:szCs w:val="17"/>
          <w:lang w:eastAsia="zh-TW"/>
        </w:rPr>
        <w:t>Skilled and Employable Workforce</w:t>
      </w:r>
      <w:r w:rsidR="0016608D" w:rsidRPr="0011239F">
        <w:rPr>
          <w:rFonts w:cs="Arial"/>
          <w:color w:val="000000"/>
          <w:sz w:val="17"/>
          <w:szCs w:val="17"/>
          <w:lang w:eastAsia="zh-TW"/>
        </w:rPr>
        <w:t>.</w:t>
      </w:r>
    </w:p>
    <w:p w14:paraId="5407428B" w14:textId="7F8FE8A0" w:rsidR="00E54AF7" w:rsidRPr="0011239F" w:rsidRDefault="00E54AF7" w:rsidP="00C36202">
      <w:pPr>
        <w:pStyle w:val="Heading2"/>
        <w:rPr>
          <w:rFonts w:ascii="Arial" w:hAnsi="Arial" w:cs="Arial"/>
        </w:rPr>
      </w:pPr>
      <w:bookmarkStart w:id="10" w:name="_Toc511756217"/>
      <w:bookmarkStart w:id="11" w:name="_Toc473722853"/>
      <w:bookmarkStart w:id="12" w:name="_Toc511769340"/>
      <w:r w:rsidRPr="0011239F">
        <w:rPr>
          <w:rFonts w:ascii="Arial" w:hAnsi="Arial" w:cs="Arial"/>
        </w:rPr>
        <w:lastRenderedPageBreak/>
        <w:t>Agency Expense Summary</w:t>
      </w:r>
      <w:bookmarkEnd w:id="10"/>
      <w:r w:rsidRPr="0011239F" w:rsidDel="00E54AF7">
        <w:rPr>
          <w:rFonts w:ascii="Arial" w:hAnsi="Arial" w:cs="Arial"/>
        </w:rPr>
        <w:t xml:space="preserve"> </w:t>
      </w:r>
    </w:p>
    <w:bookmarkEnd w:id="11"/>
    <w:bookmarkEnd w:id="12"/>
    <w:p w14:paraId="3590B320" w14:textId="4F2C6CD2" w:rsidR="00F44FF7" w:rsidRPr="0011239F" w:rsidRDefault="00F44FF7" w:rsidP="00E27C10">
      <w:pPr>
        <w:pStyle w:val="BodyText"/>
      </w:pPr>
      <w:r w:rsidRPr="0011239F">
        <w:t xml:space="preserve">The </w:t>
      </w:r>
      <w:r w:rsidR="006D4B0D" w:rsidRPr="0011239F">
        <w:t>2019-20</w:t>
      </w:r>
      <w:r w:rsidRPr="0011239F">
        <w:t xml:space="preserve"> Budget for the Department of Education (and other agencies within the cluster) is listed in the table below.</w:t>
      </w:r>
    </w:p>
    <w:p w14:paraId="0B34AA4B" w14:textId="3734D7AF" w:rsidR="00E54AF7" w:rsidRPr="0011239F" w:rsidRDefault="00E54AF7" w:rsidP="00E27C10">
      <w:pPr>
        <w:pStyle w:val="BodyText"/>
      </w:pPr>
      <w:r w:rsidRPr="0011239F">
        <w:t xml:space="preserve">In </w:t>
      </w:r>
      <w:r w:rsidR="006D4B0D" w:rsidRPr="0011239F">
        <w:t>2019-20</w:t>
      </w:r>
      <w:r w:rsidRPr="0011239F">
        <w:t>, the Department of Education will spend $</w:t>
      </w:r>
      <w:r w:rsidR="00CD6094" w:rsidRPr="0011239F">
        <w:t>2</w:t>
      </w:r>
      <w:r w:rsidR="0030041C" w:rsidRPr="0011239F">
        <w:t>0</w:t>
      </w:r>
      <w:r w:rsidR="00CD6094" w:rsidRPr="0011239F">
        <w:t>.</w:t>
      </w:r>
      <w:r w:rsidR="00D64431" w:rsidRPr="0011239F">
        <w:t>4</w:t>
      </w:r>
      <w:r w:rsidR="005427C0" w:rsidRPr="0011239F">
        <w:t xml:space="preserve"> </w:t>
      </w:r>
      <w:r w:rsidR="00CD6094" w:rsidRPr="0011239F">
        <w:t>b</w:t>
      </w:r>
      <w:r w:rsidRPr="0011239F">
        <w:t>illion ($</w:t>
      </w:r>
      <w:r w:rsidR="00E96ECD" w:rsidRPr="0011239F">
        <w:t>18.</w:t>
      </w:r>
      <w:r w:rsidR="00D64431" w:rsidRPr="0011239F">
        <w:t>2</w:t>
      </w:r>
      <w:r w:rsidR="00E96ECD" w:rsidRPr="0011239F">
        <w:t xml:space="preserve"> b</w:t>
      </w:r>
      <w:r w:rsidRPr="0011239F">
        <w:t xml:space="preserve">illion </w:t>
      </w:r>
      <w:r w:rsidR="00E365C7" w:rsidRPr="0011239F">
        <w:t xml:space="preserve">recurrent </w:t>
      </w:r>
      <w:r w:rsidRPr="0011239F">
        <w:t>expenses and $</w:t>
      </w:r>
      <w:r w:rsidR="00E96ECD" w:rsidRPr="0011239F">
        <w:t>2.</w:t>
      </w:r>
      <w:r w:rsidR="0030041C" w:rsidRPr="0011239F">
        <w:t>2</w:t>
      </w:r>
      <w:r w:rsidRPr="0011239F">
        <w:t xml:space="preserve"> billion capital expenditure).</w:t>
      </w:r>
      <w:r w:rsidR="005427C0" w:rsidRPr="0011239F">
        <w:t xml:space="preserve"> </w:t>
      </w:r>
    </w:p>
    <w:p w14:paraId="0B5E70FC" w14:textId="77777777" w:rsidR="00E27C10" w:rsidRPr="0011239F" w:rsidRDefault="00E27C10" w:rsidP="003223AF">
      <w:pPr>
        <w:rPr>
          <w:rFonts w:ascii="Arial" w:hAnsi="Arial" w:cs="Arial"/>
        </w:rPr>
      </w:pPr>
    </w:p>
    <w:tbl>
      <w:tblPr>
        <w:tblW w:w="9645" w:type="dxa"/>
        <w:tblLayout w:type="fixed"/>
        <w:tblLook w:val="04A0" w:firstRow="1" w:lastRow="0" w:firstColumn="1" w:lastColumn="0" w:noHBand="0" w:noVBand="1"/>
        <w:tblCaption w:val="Agency Expense Summary table"/>
        <w:tblDescription w:val="Education cluster - Agency Expense Summary table"/>
      </w:tblPr>
      <w:tblGrid>
        <w:gridCol w:w="4046"/>
        <w:gridCol w:w="980"/>
        <w:gridCol w:w="1037"/>
        <w:gridCol w:w="952"/>
        <w:gridCol w:w="895"/>
        <w:gridCol w:w="993"/>
        <w:gridCol w:w="736"/>
        <w:gridCol w:w="6"/>
      </w:tblGrid>
      <w:tr w:rsidR="00E27C10" w:rsidRPr="0011239F" w14:paraId="1084D811" w14:textId="77777777" w:rsidTr="00E27C10">
        <w:trPr>
          <w:gridAfter w:val="1"/>
          <w:wAfter w:w="6" w:type="dxa"/>
          <w:trHeight w:val="283"/>
        </w:trPr>
        <w:tc>
          <w:tcPr>
            <w:tcW w:w="4046" w:type="dxa"/>
            <w:vMerge w:val="restart"/>
            <w:tcBorders>
              <w:top w:val="nil"/>
              <w:left w:val="nil"/>
              <w:bottom w:val="nil"/>
              <w:right w:val="nil"/>
            </w:tcBorders>
            <w:shd w:val="clear" w:color="auto" w:fill="00ABE6"/>
            <w:vAlign w:val="center"/>
            <w:hideMark/>
          </w:tcPr>
          <w:p w14:paraId="41213064" w14:textId="7884C4A0" w:rsidR="00E27C10" w:rsidRPr="0011239F" w:rsidRDefault="00E27C10" w:rsidP="003223AF">
            <w:pPr>
              <w:jc w:val="center"/>
              <w:rPr>
                <w:rFonts w:ascii="Arial" w:hAnsi="Arial" w:cs="Arial"/>
                <w:b/>
                <w:bCs/>
                <w:color w:val="FFFFFF"/>
                <w:sz w:val="18"/>
                <w:szCs w:val="18"/>
                <w:lang w:eastAsia="en-AU"/>
              </w:rPr>
            </w:pPr>
            <w:r w:rsidRPr="0011239F">
              <w:rPr>
                <w:rFonts w:ascii="Arial" w:hAnsi="Arial" w:cs="Arial"/>
                <w:color w:val="FFFFFF"/>
                <w:sz w:val="18"/>
                <w:szCs w:val="18"/>
                <w:lang w:eastAsia="en-AU"/>
              </w:rPr>
              <w:t>Education cluster</w:t>
            </w:r>
          </w:p>
        </w:tc>
        <w:tc>
          <w:tcPr>
            <w:tcW w:w="2969" w:type="dxa"/>
            <w:gridSpan w:val="3"/>
            <w:tcBorders>
              <w:top w:val="nil"/>
              <w:left w:val="nil"/>
              <w:bottom w:val="nil"/>
              <w:right w:val="nil"/>
            </w:tcBorders>
            <w:shd w:val="clear" w:color="auto" w:fill="00ABE6"/>
            <w:vAlign w:val="bottom"/>
            <w:hideMark/>
          </w:tcPr>
          <w:p w14:paraId="314A32B0"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Expenses</w:t>
            </w:r>
            <w:r w:rsidRPr="0011239F">
              <w:rPr>
                <w:rFonts w:ascii="Arial" w:hAnsi="Arial" w:cs="Arial"/>
                <w:color w:val="FFFFFF"/>
                <w:sz w:val="18"/>
                <w:szCs w:val="18"/>
                <w:vertAlign w:val="superscript"/>
                <w:lang w:eastAsia="en-AU"/>
              </w:rPr>
              <w:t>(a)</w:t>
            </w:r>
          </w:p>
        </w:tc>
        <w:tc>
          <w:tcPr>
            <w:tcW w:w="2624" w:type="dxa"/>
            <w:gridSpan w:val="3"/>
            <w:tcBorders>
              <w:top w:val="nil"/>
              <w:left w:val="nil"/>
              <w:bottom w:val="nil"/>
              <w:right w:val="nil"/>
            </w:tcBorders>
            <w:shd w:val="clear" w:color="auto" w:fill="00ABE6"/>
            <w:vAlign w:val="bottom"/>
            <w:hideMark/>
          </w:tcPr>
          <w:p w14:paraId="068752EC"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Capital Expenditure</w:t>
            </w:r>
          </w:p>
        </w:tc>
      </w:tr>
      <w:tr w:rsidR="00E27C10" w:rsidRPr="0011239F" w14:paraId="2B167E07" w14:textId="77777777" w:rsidTr="00E27C10">
        <w:trPr>
          <w:gridAfter w:val="1"/>
          <w:wAfter w:w="6" w:type="dxa"/>
          <w:trHeight w:val="255"/>
        </w:trPr>
        <w:tc>
          <w:tcPr>
            <w:tcW w:w="4046" w:type="dxa"/>
            <w:vMerge/>
            <w:tcBorders>
              <w:top w:val="nil"/>
              <w:left w:val="nil"/>
              <w:bottom w:val="nil"/>
              <w:right w:val="nil"/>
            </w:tcBorders>
            <w:shd w:val="clear" w:color="auto" w:fill="00ABE6"/>
            <w:vAlign w:val="center"/>
            <w:hideMark/>
          </w:tcPr>
          <w:p w14:paraId="5361BDB8" w14:textId="77777777" w:rsidR="00E27C10" w:rsidRPr="0011239F" w:rsidRDefault="00E27C10" w:rsidP="003223AF">
            <w:pPr>
              <w:rPr>
                <w:rFonts w:ascii="Arial" w:hAnsi="Arial" w:cs="Arial"/>
                <w:b/>
                <w:bCs/>
                <w:color w:val="FFFFFF"/>
                <w:sz w:val="18"/>
                <w:szCs w:val="18"/>
                <w:lang w:eastAsia="en-AU"/>
              </w:rPr>
            </w:pPr>
          </w:p>
        </w:tc>
        <w:tc>
          <w:tcPr>
            <w:tcW w:w="980" w:type="dxa"/>
            <w:tcBorders>
              <w:top w:val="nil"/>
              <w:left w:val="nil"/>
              <w:bottom w:val="nil"/>
              <w:right w:val="nil"/>
            </w:tcBorders>
            <w:shd w:val="clear" w:color="auto" w:fill="00ABE6"/>
            <w:vAlign w:val="bottom"/>
            <w:hideMark/>
          </w:tcPr>
          <w:p w14:paraId="67B828DD" w14:textId="77777777" w:rsidR="00E27C10" w:rsidRPr="0011239F" w:rsidRDefault="00E27C10"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1037" w:type="dxa"/>
            <w:tcBorders>
              <w:top w:val="nil"/>
              <w:left w:val="nil"/>
              <w:bottom w:val="nil"/>
              <w:right w:val="nil"/>
            </w:tcBorders>
            <w:shd w:val="clear" w:color="auto" w:fill="00ABE6"/>
            <w:vAlign w:val="bottom"/>
            <w:hideMark/>
          </w:tcPr>
          <w:p w14:paraId="1F048B24" w14:textId="77777777" w:rsidR="00E27C10" w:rsidRPr="0011239F" w:rsidRDefault="00E27C10"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c>
          <w:tcPr>
            <w:tcW w:w="952" w:type="dxa"/>
            <w:tcBorders>
              <w:top w:val="nil"/>
              <w:left w:val="nil"/>
              <w:bottom w:val="nil"/>
              <w:right w:val="nil"/>
            </w:tcBorders>
            <w:shd w:val="clear" w:color="auto" w:fill="00ABE6"/>
            <w:vAlign w:val="bottom"/>
            <w:hideMark/>
          </w:tcPr>
          <w:p w14:paraId="0C5AAA4A" w14:textId="77777777" w:rsidR="00E27C10" w:rsidRPr="0011239F" w:rsidRDefault="00E27C10" w:rsidP="003223AF">
            <w:pPr>
              <w:jc w:val="center"/>
              <w:rPr>
                <w:rFonts w:ascii="Arial" w:hAnsi="Arial" w:cs="Arial"/>
                <w:color w:val="000000"/>
                <w:sz w:val="18"/>
                <w:szCs w:val="18"/>
                <w:lang w:eastAsia="en-AU"/>
              </w:rPr>
            </w:pPr>
          </w:p>
        </w:tc>
        <w:tc>
          <w:tcPr>
            <w:tcW w:w="895" w:type="dxa"/>
            <w:tcBorders>
              <w:top w:val="nil"/>
              <w:left w:val="nil"/>
              <w:bottom w:val="nil"/>
              <w:right w:val="nil"/>
            </w:tcBorders>
            <w:shd w:val="clear" w:color="auto" w:fill="00ABE6"/>
            <w:vAlign w:val="bottom"/>
            <w:hideMark/>
          </w:tcPr>
          <w:p w14:paraId="0D4393EE" w14:textId="77777777" w:rsidR="00E27C10" w:rsidRPr="0011239F" w:rsidRDefault="00E27C10"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993" w:type="dxa"/>
            <w:tcBorders>
              <w:top w:val="nil"/>
              <w:left w:val="nil"/>
              <w:bottom w:val="nil"/>
              <w:right w:val="nil"/>
            </w:tcBorders>
            <w:shd w:val="clear" w:color="auto" w:fill="00ABE6"/>
            <w:vAlign w:val="bottom"/>
            <w:hideMark/>
          </w:tcPr>
          <w:p w14:paraId="748ECA07" w14:textId="77777777" w:rsidR="00E27C10" w:rsidRPr="0011239F" w:rsidRDefault="00E27C10"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c>
          <w:tcPr>
            <w:tcW w:w="736" w:type="dxa"/>
            <w:tcBorders>
              <w:top w:val="nil"/>
              <w:left w:val="nil"/>
              <w:bottom w:val="nil"/>
              <w:right w:val="nil"/>
            </w:tcBorders>
            <w:shd w:val="clear" w:color="auto" w:fill="00ABE6"/>
            <w:vAlign w:val="center"/>
            <w:hideMark/>
          </w:tcPr>
          <w:p w14:paraId="24E97411" w14:textId="77777777" w:rsidR="00E27C10" w:rsidRPr="0011239F" w:rsidRDefault="00E27C10" w:rsidP="003223AF">
            <w:pPr>
              <w:jc w:val="cente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E27C10" w:rsidRPr="0011239F" w14:paraId="48FF5149" w14:textId="77777777" w:rsidTr="00E27C10">
        <w:trPr>
          <w:gridAfter w:val="1"/>
          <w:wAfter w:w="6" w:type="dxa"/>
          <w:trHeight w:val="267"/>
        </w:trPr>
        <w:tc>
          <w:tcPr>
            <w:tcW w:w="4046" w:type="dxa"/>
            <w:vMerge/>
            <w:tcBorders>
              <w:top w:val="nil"/>
              <w:left w:val="nil"/>
              <w:bottom w:val="nil"/>
              <w:right w:val="nil"/>
            </w:tcBorders>
            <w:shd w:val="clear" w:color="auto" w:fill="00ABE6"/>
            <w:vAlign w:val="center"/>
            <w:hideMark/>
          </w:tcPr>
          <w:p w14:paraId="18EDA1D2" w14:textId="77777777" w:rsidR="00E27C10" w:rsidRPr="0011239F" w:rsidRDefault="00E27C10" w:rsidP="00DE57E3">
            <w:pPr>
              <w:rPr>
                <w:rFonts w:ascii="Arial" w:hAnsi="Arial" w:cs="Arial"/>
                <w:b/>
                <w:bCs/>
                <w:color w:val="FFFFFF"/>
                <w:sz w:val="18"/>
                <w:szCs w:val="18"/>
                <w:lang w:eastAsia="en-AU"/>
              </w:rPr>
            </w:pPr>
          </w:p>
        </w:tc>
        <w:tc>
          <w:tcPr>
            <w:tcW w:w="980" w:type="dxa"/>
            <w:tcBorders>
              <w:top w:val="nil"/>
              <w:left w:val="nil"/>
              <w:bottom w:val="nil"/>
              <w:right w:val="nil"/>
            </w:tcBorders>
            <w:shd w:val="clear" w:color="auto" w:fill="00ABE6"/>
            <w:vAlign w:val="center"/>
            <w:hideMark/>
          </w:tcPr>
          <w:p w14:paraId="6F65AF81"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1037" w:type="dxa"/>
            <w:tcBorders>
              <w:top w:val="nil"/>
              <w:left w:val="nil"/>
              <w:bottom w:val="nil"/>
              <w:right w:val="nil"/>
            </w:tcBorders>
            <w:shd w:val="clear" w:color="auto" w:fill="00ABE6"/>
            <w:vAlign w:val="center"/>
            <w:hideMark/>
          </w:tcPr>
          <w:p w14:paraId="2B0AED3D"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952" w:type="dxa"/>
            <w:tcBorders>
              <w:top w:val="nil"/>
              <w:left w:val="nil"/>
              <w:bottom w:val="nil"/>
              <w:right w:val="nil"/>
            </w:tcBorders>
            <w:shd w:val="clear" w:color="auto" w:fill="00ABE6"/>
            <w:vAlign w:val="center"/>
            <w:hideMark/>
          </w:tcPr>
          <w:p w14:paraId="5D3BFCEC"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Change</w:t>
            </w:r>
          </w:p>
        </w:tc>
        <w:tc>
          <w:tcPr>
            <w:tcW w:w="895" w:type="dxa"/>
            <w:tcBorders>
              <w:top w:val="nil"/>
              <w:left w:val="nil"/>
              <w:bottom w:val="nil"/>
              <w:right w:val="nil"/>
            </w:tcBorders>
            <w:shd w:val="clear" w:color="auto" w:fill="00ABE6"/>
            <w:vAlign w:val="center"/>
            <w:hideMark/>
          </w:tcPr>
          <w:p w14:paraId="6162D9AD"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993" w:type="dxa"/>
            <w:tcBorders>
              <w:top w:val="nil"/>
              <w:left w:val="nil"/>
              <w:bottom w:val="nil"/>
              <w:right w:val="nil"/>
            </w:tcBorders>
            <w:shd w:val="clear" w:color="auto" w:fill="00ABE6"/>
            <w:vAlign w:val="center"/>
            <w:hideMark/>
          </w:tcPr>
          <w:p w14:paraId="2845A9ED"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736" w:type="dxa"/>
            <w:tcBorders>
              <w:top w:val="nil"/>
              <w:left w:val="nil"/>
              <w:bottom w:val="nil"/>
              <w:right w:val="nil"/>
            </w:tcBorders>
            <w:shd w:val="clear" w:color="auto" w:fill="00ABE6"/>
            <w:vAlign w:val="center"/>
            <w:hideMark/>
          </w:tcPr>
          <w:p w14:paraId="1394A80A" w14:textId="77777777" w:rsidR="00E27C10" w:rsidRPr="0011239F" w:rsidRDefault="00E27C10" w:rsidP="003F73B6">
            <w:pPr>
              <w:ind w:left="-57" w:right="-57"/>
              <w:jc w:val="center"/>
              <w:rPr>
                <w:rFonts w:ascii="Arial" w:hAnsi="Arial" w:cs="Arial"/>
                <w:color w:val="FFFFFF"/>
                <w:sz w:val="18"/>
                <w:szCs w:val="18"/>
                <w:lang w:eastAsia="en-AU"/>
              </w:rPr>
            </w:pPr>
            <w:r w:rsidRPr="0011239F">
              <w:rPr>
                <w:rFonts w:ascii="Arial" w:hAnsi="Arial" w:cs="Arial"/>
                <w:color w:val="FFFFFF"/>
                <w:sz w:val="18"/>
                <w:szCs w:val="18"/>
                <w:lang w:eastAsia="en-AU"/>
              </w:rPr>
              <w:t>Change</w:t>
            </w:r>
          </w:p>
        </w:tc>
      </w:tr>
      <w:tr w:rsidR="00E27C10" w:rsidRPr="0011239F" w14:paraId="6BCE3358" w14:textId="77777777" w:rsidTr="00E27C10">
        <w:trPr>
          <w:gridAfter w:val="1"/>
          <w:wAfter w:w="6" w:type="dxa"/>
          <w:trHeight w:val="238"/>
        </w:trPr>
        <w:tc>
          <w:tcPr>
            <w:tcW w:w="4046" w:type="dxa"/>
            <w:tcBorders>
              <w:top w:val="nil"/>
              <w:left w:val="nil"/>
              <w:bottom w:val="nil"/>
              <w:right w:val="nil"/>
            </w:tcBorders>
            <w:shd w:val="clear" w:color="auto" w:fill="0A7CB9"/>
            <w:vAlign w:val="center"/>
            <w:hideMark/>
          </w:tcPr>
          <w:p w14:paraId="05DE4C91" w14:textId="77777777" w:rsidR="00E27C10" w:rsidRPr="0011239F" w:rsidRDefault="00E27C10" w:rsidP="00DE57E3">
            <w:pPr>
              <w:jc w:val="cente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980" w:type="dxa"/>
            <w:tcBorders>
              <w:top w:val="nil"/>
              <w:left w:val="nil"/>
              <w:bottom w:val="nil"/>
              <w:right w:val="nil"/>
            </w:tcBorders>
            <w:shd w:val="clear" w:color="auto" w:fill="0A7CB9"/>
            <w:hideMark/>
          </w:tcPr>
          <w:p w14:paraId="3C2C117F"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$m</w:t>
            </w:r>
          </w:p>
        </w:tc>
        <w:tc>
          <w:tcPr>
            <w:tcW w:w="1037" w:type="dxa"/>
            <w:tcBorders>
              <w:top w:val="nil"/>
              <w:left w:val="nil"/>
              <w:bottom w:val="nil"/>
              <w:right w:val="nil"/>
            </w:tcBorders>
            <w:shd w:val="clear" w:color="auto" w:fill="0A7CB9"/>
            <w:hideMark/>
          </w:tcPr>
          <w:p w14:paraId="01A7FF2C"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$m</w:t>
            </w:r>
          </w:p>
        </w:tc>
        <w:tc>
          <w:tcPr>
            <w:tcW w:w="952" w:type="dxa"/>
            <w:tcBorders>
              <w:top w:val="nil"/>
              <w:left w:val="nil"/>
              <w:right w:val="nil"/>
            </w:tcBorders>
            <w:shd w:val="clear" w:color="auto" w:fill="0A7CB9"/>
            <w:hideMark/>
          </w:tcPr>
          <w:p w14:paraId="24F4D9C8"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w:t>
            </w:r>
          </w:p>
        </w:tc>
        <w:tc>
          <w:tcPr>
            <w:tcW w:w="895" w:type="dxa"/>
            <w:tcBorders>
              <w:top w:val="nil"/>
              <w:left w:val="nil"/>
              <w:bottom w:val="nil"/>
              <w:right w:val="nil"/>
            </w:tcBorders>
            <w:shd w:val="clear" w:color="auto" w:fill="0A7CB9"/>
            <w:hideMark/>
          </w:tcPr>
          <w:p w14:paraId="60539A3C"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$m</w:t>
            </w:r>
          </w:p>
        </w:tc>
        <w:tc>
          <w:tcPr>
            <w:tcW w:w="993" w:type="dxa"/>
            <w:tcBorders>
              <w:top w:val="nil"/>
              <w:left w:val="nil"/>
              <w:bottom w:val="nil"/>
              <w:right w:val="nil"/>
            </w:tcBorders>
            <w:shd w:val="clear" w:color="auto" w:fill="0A7CB9"/>
            <w:hideMark/>
          </w:tcPr>
          <w:p w14:paraId="0250C734" w14:textId="77777777" w:rsidR="00E27C10" w:rsidRPr="0011239F" w:rsidRDefault="00E27C10" w:rsidP="003F73B6">
            <w:pPr>
              <w:jc w:val="center"/>
              <w:rPr>
                <w:rFonts w:ascii="Arial" w:hAnsi="Arial" w:cs="Arial"/>
                <w:color w:val="FFFFFF"/>
                <w:sz w:val="18"/>
                <w:szCs w:val="18"/>
                <w:lang w:eastAsia="en-AU"/>
              </w:rPr>
            </w:pPr>
            <w:r w:rsidRPr="0011239F">
              <w:rPr>
                <w:rFonts w:ascii="Arial" w:hAnsi="Arial" w:cs="Arial"/>
                <w:color w:val="FFFFFF"/>
                <w:sz w:val="18"/>
                <w:szCs w:val="18"/>
                <w:lang w:eastAsia="en-AU"/>
              </w:rPr>
              <w:t>$m</w:t>
            </w:r>
          </w:p>
        </w:tc>
        <w:tc>
          <w:tcPr>
            <w:tcW w:w="736" w:type="dxa"/>
            <w:tcBorders>
              <w:top w:val="nil"/>
              <w:left w:val="nil"/>
              <w:bottom w:val="nil"/>
              <w:right w:val="nil"/>
            </w:tcBorders>
            <w:shd w:val="clear" w:color="auto" w:fill="0A7CB9"/>
            <w:hideMark/>
          </w:tcPr>
          <w:p w14:paraId="6FF6D820" w14:textId="77777777" w:rsidR="00E27C10" w:rsidRPr="0011239F" w:rsidRDefault="00E27C10" w:rsidP="003F73B6">
            <w:pPr>
              <w:ind w:left="-57" w:right="-57"/>
              <w:jc w:val="center"/>
              <w:rPr>
                <w:rFonts w:ascii="Arial" w:hAnsi="Arial" w:cs="Arial"/>
                <w:color w:val="FFFFFF"/>
                <w:sz w:val="18"/>
                <w:szCs w:val="18"/>
                <w:lang w:eastAsia="en-AU"/>
              </w:rPr>
            </w:pPr>
            <w:r w:rsidRPr="0011239F">
              <w:rPr>
                <w:rFonts w:ascii="Arial" w:hAnsi="Arial" w:cs="Arial"/>
                <w:color w:val="FFFFFF"/>
                <w:sz w:val="18"/>
                <w:szCs w:val="18"/>
                <w:lang w:eastAsia="en-AU"/>
              </w:rPr>
              <w:t>%</w:t>
            </w:r>
          </w:p>
        </w:tc>
      </w:tr>
      <w:tr w:rsidR="00803501" w:rsidRPr="0011239F" w14:paraId="24CADA4F" w14:textId="77777777" w:rsidTr="00E27C10">
        <w:trPr>
          <w:trHeight w:val="290"/>
        </w:trPr>
        <w:tc>
          <w:tcPr>
            <w:tcW w:w="4046" w:type="dxa"/>
            <w:tcBorders>
              <w:top w:val="single" w:sz="4" w:space="0" w:color="FFFFFF"/>
              <w:left w:val="nil"/>
              <w:bottom w:val="nil"/>
              <w:right w:val="nil"/>
            </w:tcBorders>
            <w:shd w:val="clear" w:color="auto" w:fill="auto"/>
            <w:noWrap/>
            <w:vAlign w:val="center"/>
            <w:hideMark/>
          </w:tcPr>
          <w:p w14:paraId="16B407FF" w14:textId="77777777" w:rsidR="00803501" w:rsidRPr="0011239F" w:rsidRDefault="00803501" w:rsidP="00803501">
            <w:pPr>
              <w:rPr>
                <w:rFonts w:ascii="Arial" w:hAnsi="Arial" w:cs="Arial"/>
                <w:b/>
                <w:bCs/>
                <w:sz w:val="18"/>
                <w:szCs w:val="18"/>
                <w:lang w:eastAsia="en-AU"/>
              </w:rPr>
            </w:pPr>
            <w:r w:rsidRPr="0011239F">
              <w:rPr>
                <w:rFonts w:ascii="Arial" w:hAnsi="Arial" w:cs="Arial"/>
                <w:b/>
                <w:bCs/>
                <w:sz w:val="18"/>
                <w:szCs w:val="18"/>
                <w:lang w:eastAsia="en-AU"/>
              </w:rPr>
              <w:t xml:space="preserve">Department of Education </w:t>
            </w:r>
          </w:p>
        </w:tc>
        <w:tc>
          <w:tcPr>
            <w:tcW w:w="980" w:type="dxa"/>
            <w:tcBorders>
              <w:top w:val="single" w:sz="4" w:space="0" w:color="FFFFFF"/>
              <w:left w:val="nil"/>
              <w:bottom w:val="nil"/>
              <w:right w:val="nil"/>
            </w:tcBorders>
            <w:shd w:val="clear" w:color="auto" w:fill="auto"/>
            <w:noWrap/>
            <w:vAlign w:val="center"/>
            <w:hideMark/>
          </w:tcPr>
          <w:p w14:paraId="13A37976"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15,134.8</w:t>
            </w:r>
          </w:p>
        </w:tc>
        <w:tc>
          <w:tcPr>
            <w:tcW w:w="1037" w:type="dxa"/>
            <w:tcBorders>
              <w:top w:val="single" w:sz="4" w:space="0" w:color="FFFFFF"/>
              <w:left w:val="nil"/>
              <w:bottom w:val="nil"/>
              <w:right w:val="nil"/>
            </w:tcBorders>
            <w:shd w:val="clear" w:color="auto" w:fill="auto"/>
            <w:noWrap/>
            <w:vAlign w:val="center"/>
            <w:hideMark/>
          </w:tcPr>
          <w:p w14:paraId="017763B6" w14:textId="05CA8AA4"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18,</w:t>
            </w:r>
            <w:r w:rsidR="00F93E7E" w:rsidRPr="0011239F">
              <w:rPr>
                <w:rFonts w:ascii="Arial" w:hAnsi="Arial" w:cs="Arial"/>
                <w:sz w:val="18"/>
                <w:szCs w:val="18"/>
                <w:lang w:eastAsia="en-AU"/>
              </w:rPr>
              <w:t>158.7</w:t>
            </w:r>
          </w:p>
        </w:tc>
        <w:tc>
          <w:tcPr>
            <w:tcW w:w="952" w:type="dxa"/>
            <w:tcBorders>
              <w:top w:val="single" w:sz="4" w:space="0" w:color="FFFFFF"/>
              <w:left w:val="nil"/>
              <w:bottom w:val="nil"/>
              <w:right w:val="single" w:sz="4" w:space="0" w:color="000000"/>
            </w:tcBorders>
            <w:shd w:val="clear" w:color="auto" w:fill="auto"/>
            <w:vAlign w:val="center"/>
            <w:hideMark/>
          </w:tcPr>
          <w:p w14:paraId="5C38E74D" w14:textId="177AF7D9"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20.0</w:t>
            </w:r>
            <w:r w:rsidR="00D62CFD" w:rsidRPr="0011239F">
              <w:rPr>
                <w:rFonts w:ascii="Arial" w:hAnsi="Arial" w:cs="Arial"/>
                <w:sz w:val="18"/>
                <w:szCs w:val="18"/>
                <w:vertAlign w:val="superscript"/>
                <w:lang w:eastAsia="en-AU"/>
              </w:rPr>
              <w:t>(c)</w:t>
            </w:r>
          </w:p>
        </w:tc>
        <w:tc>
          <w:tcPr>
            <w:tcW w:w="895" w:type="dxa"/>
            <w:tcBorders>
              <w:top w:val="single" w:sz="4" w:space="0" w:color="FFFFFF"/>
              <w:left w:val="nil"/>
              <w:bottom w:val="nil"/>
              <w:right w:val="nil"/>
            </w:tcBorders>
            <w:shd w:val="clear" w:color="auto" w:fill="auto"/>
            <w:noWrap/>
            <w:vAlign w:val="center"/>
            <w:hideMark/>
          </w:tcPr>
          <w:p w14:paraId="0E0E58EE"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1,674.5</w:t>
            </w:r>
          </w:p>
        </w:tc>
        <w:tc>
          <w:tcPr>
            <w:tcW w:w="993" w:type="dxa"/>
            <w:tcBorders>
              <w:top w:val="single" w:sz="4" w:space="0" w:color="FFFFFF"/>
              <w:left w:val="nil"/>
              <w:bottom w:val="nil"/>
              <w:right w:val="nil"/>
            </w:tcBorders>
            <w:shd w:val="clear" w:color="auto" w:fill="auto"/>
            <w:noWrap/>
            <w:vAlign w:val="center"/>
            <w:hideMark/>
          </w:tcPr>
          <w:p w14:paraId="57766D3D"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2,242.6</w:t>
            </w:r>
          </w:p>
        </w:tc>
        <w:tc>
          <w:tcPr>
            <w:tcW w:w="742" w:type="dxa"/>
            <w:gridSpan w:val="2"/>
            <w:tcBorders>
              <w:left w:val="nil"/>
              <w:bottom w:val="nil"/>
            </w:tcBorders>
            <w:shd w:val="clear" w:color="auto" w:fill="auto"/>
            <w:vAlign w:val="center"/>
            <w:hideMark/>
          </w:tcPr>
          <w:p w14:paraId="7549A1A3"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33.9</w:t>
            </w:r>
          </w:p>
        </w:tc>
      </w:tr>
      <w:tr w:rsidR="00803501" w:rsidRPr="0011239F" w14:paraId="45A07B2F" w14:textId="77777777" w:rsidTr="00A35B83">
        <w:trPr>
          <w:trHeight w:val="290"/>
        </w:trPr>
        <w:tc>
          <w:tcPr>
            <w:tcW w:w="4046" w:type="dxa"/>
            <w:tcBorders>
              <w:top w:val="nil"/>
              <w:left w:val="nil"/>
              <w:bottom w:val="nil"/>
              <w:right w:val="nil"/>
            </w:tcBorders>
            <w:shd w:val="clear" w:color="auto" w:fill="auto"/>
            <w:noWrap/>
            <w:vAlign w:val="center"/>
            <w:hideMark/>
          </w:tcPr>
          <w:p w14:paraId="1525D85A" w14:textId="4630361C" w:rsidR="00803501" w:rsidRPr="0011239F" w:rsidRDefault="00803501" w:rsidP="00E27C1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11239F">
              <w:rPr>
                <w:rFonts w:ascii="Arial" w:hAnsi="Arial" w:cs="Arial"/>
                <w:color w:val="000000"/>
                <w:sz w:val="18"/>
                <w:szCs w:val="18"/>
                <w:lang w:eastAsia="en-AU"/>
              </w:rPr>
              <w:t>Cluster Grants</w:t>
            </w:r>
            <w:r w:rsidR="00E27C10" w:rsidRPr="0011239F">
              <w:rPr>
                <w:rFonts w:ascii="Arial" w:hAnsi="Arial" w:cs="Arial"/>
                <w:color w:val="000000"/>
                <w:sz w:val="18"/>
                <w:szCs w:val="18"/>
                <w:lang w:eastAsia="en-AU"/>
              </w:rPr>
              <w:t xml:space="preserve"> </w:t>
            </w:r>
            <w:r w:rsidR="00E27C10" w:rsidRPr="0011239F">
              <w:rPr>
                <w:rFonts w:ascii="Arial" w:hAnsi="Arial" w:cs="Arial"/>
                <w:color w:val="000000"/>
                <w:sz w:val="18"/>
                <w:szCs w:val="18"/>
                <w:lang w:eastAsia="en-AU"/>
              </w:rPr>
              <w:tab/>
            </w:r>
          </w:p>
        </w:tc>
        <w:tc>
          <w:tcPr>
            <w:tcW w:w="980" w:type="dxa"/>
            <w:tcBorders>
              <w:top w:val="single" w:sz="4" w:space="0" w:color="FFFFFF"/>
              <w:left w:val="nil"/>
              <w:bottom w:val="nil"/>
              <w:right w:val="nil"/>
            </w:tcBorders>
            <w:shd w:val="clear" w:color="auto" w:fill="auto"/>
            <w:noWrap/>
            <w:vAlign w:val="center"/>
            <w:hideMark/>
          </w:tcPr>
          <w:p w14:paraId="67E9AB64"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136.0</w:t>
            </w:r>
          </w:p>
        </w:tc>
        <w:tc>
          <w:tcPr>
            <w:tcW w:w="1037" w:type="dxa"/>
            <w:tcBorders>
              <w:top w:val="single" w:sz="4" w:space="0" w:color="FFFFFF"/>
              <w:left w:val="nil"/>
              <w:bottom w:val="nil"/>
              <w:right w:val="nil"/>
            </w:tcBorders>
            <w:shd w:val="clear" w:color="auto" w:fill="auto"/>
            <w:noWrap/>
            <w:vAlign w:val="center"/>
            <w:hideMark/>
          </w:tcPr>
          <w:p w14:paraId="0A610C19"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34.4</w:t>
            </w:r>
          </w:p>
        </w:tc>
        <w:tc>
          <w:tcPr>
            <w:tcW w:w="952" w:type="dxa"/>
            <w:tcBorders>
              <w:top w:val="single" w:sz="4" w:space="0" w:color="FFFFFF"/>
              <w:left w:val="nil"/>
              <w:bottom w:val="nil"/>
              <w:right w:val="single" w:sz="4" w:space="0" w:color="000000"/>
            </w:tcBorders>
            <w:shd w:val="clear" w:color="auto" w:fill="auto"/>
            <w:vAlign w:val="center"/>
            <w:hideMark/>
          </w:tcPr>
          <w:p w14:paraId="4819DCB8" w14:textId="3D9E1833"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w:t>
            </w:r>
            <w:proofErr w:type="gramStart"/>
            <w:r w:rsidRPr="0011239F">
              <w:rPr>
                <w:rFonts w:ascii="Arial" w:hAnsi="Arial" w:cs="Arial"/>
                <w:sz w:val="18"/>
                <w:szCs w:val="18"/>
                <w:lang w:eastAsia="en-AU"/>
              </w:rPr>
              <w:t>74.7)</w:t>
            </w:r>
            <w:r w:rsidR="00D62CFD" w:rsidRPr="0011239F">
              <w:rPr>
                <w:rFonts w:ascii="Arial" w:hAnsi="Arial" w:cs="Arial"/>
                <w:sz w:val="18"/>
                <w:szCs w:val="18"/>
                <w:vertAlign w:val="superscript"/>
                <w:lang w:eastAsia="en-AU"/>
              </w:rPr>
              <w:t>(</w:t>
            </w:r>
            <w:proofErr w:type="gramEnd"/>
            <w:r w:rsidR="00D62CFD" w:rsidRPr="0011239F">
              <w:rPr>
                <w:rFonts w:ascii="Arial" w:hAnsi="Arial" w:cs="Arial"/>
                <w:sz w:val="18"/>
                <w:szCs w:val="18"/>
                <w:vertAlign w:val="superscript"/>
                <w:lang w:eastAsia="en-AU"/>
              </w:rPr>
              <w:t>d)</w:t>
            </w:r>
          </w:p>
        </w:tc>
        <w:tc>
          <w:tcPr>
            <w:tcW w:w="895" w:type="dxa"/>
            <w:tcBorders>
              <w:top w:val="single" w:sz="4" w:space="0" w:color="FFFFFF"/>
              <w:left w:val="nil"/>
              <w:bottom w:val="nil"/>
              <w:right w:val="nil"/>
            </w:tcBorders>
            <w:shd w:val="clear" w:color="auto" w:fill="auto"/>
            <w:noWrap/>
            <w:vAlign w:val="center"/>
            <w:hideMark/>
          </w:tcPr>
          <w:p w14:paraId="23355D2E"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w:t>
            </w:r>
          </w:p>
        </w:tc>
        <w:tc>
          <w:tcPr>
            <w:tcW w:w="993" w:type="dxa"/>
            <w:tcBorders>
              <w:top w:val="single" w:sz="4" w:space="0" w:color="FFFFFF"/>
              <w:left w:val="nil"/>
              <w:bottom w:val="single" w:sz="4" w:space="0" w:color="auto"/>
              <w:right w:val="nil"/>
            </w:tcBorders>
            <w:shd w:val="clear" w:color="auto" w:fill="auto"/>
            <w:noWrap/>
            <w:vAlign w:val="center"/>
            <w:hideMark/>
          </w:tcPr>
          <w:p w14:paraId="51447B7C"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w:t>
            </w:r>
          </w:p>
        </w:tc>
        <w:tc>
          <w:tcPr>
            <w:tcW w:w="742" w:type="dxa"/>
            <w:gridSpan w:val="2"/>
            <w:tcBorders>
              <w:left w:val="nil"/>
              <w:bottom w:val="single" w:sz="4" w:space="0" w:color="auto"/>
            </w:tcBorders>
            <w:shd w:val="clear" w:color="auto" w:fill="auto"/>
            <w:vAlign w:val="center"/>
            <w:hideMark/>
          </w:tcPr>
          <w:p w14:paraId="4B4232B7"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w:t>
            </w:r>
          </w:p>
        </w:tc>
      </w:tr>
      <w:tr w:rsidR="00803501" w:rsidRPr="0011239F" w14:paraId="5DD6C0AE" w14:textId="77777777" w:rsidTr="00A35B83">
        <w:trPr>
          <w:trHeight w:val="340"/>
        </w:trPr>
        <w:tc>
          <w:tcPr>
            <w:tcW w:w="4046" w:type="dxa"/>
            <w:tcBorders>
              <w:top w:val="single" w:sz="4" w:space="0" w:color="auto"/>
              <w:left w:val="nil"/>
              <w:bottom w:val="single" w:sz="4" w:space="0" w:color="auto"/>
              <w:right w:val="nil"/>
            </w:tcBorders>
            <w:shd w:val="clear" w:color="auto" w:fill="auto"/>
            <w:noWrap/>
            <w:vAlign w:val="center"/>
            <w:hideMark/>
          </w:tcPr>
          <w:p w14:paraId="38A298B6" w14:textId="77777777" w:rsidR="00803501" w:rsidRPr="0011239F" w:rsidRDefault="00803501" w:rsidP="00803501">
            <w:pPr>
              <w:rPr>
                <w:rFonts w:ascii="Arial" w:hAnsi="Arial" w:cs="Arial"/>
                <w:b/>
                <w:bCs/>
                <w:color w:val="00ABE6"/>
                <w:sz w:val="18"/>
                <w:szCs w:val="18"/>
                <w:lang w:eastAsia="en-AU"/>
              </w:rPr>
            </w:pPr>
            <w:r w:rsidRPr="0011239F">
              <w:rPr>
                <w:rFonts w:ascii="Arial" w:hAnsi="Arial" w:cs="Arial"/>
                <w:b/>
                <w:bCs/>
                <w:color w:val="00ABE6"/>
                <w:sz w:val="18"/>
                <w:szCs w:val="18"/>
                <w:lang w:eastAsia="en-AU"/>
              </w:rPr>
              <w:t>Total Principal Agency</w:t>
            </w:r>
          </w:p>
        </w:tc>
        <w:tc>
          <w:tcPr>
            <w:tcW w:w="980" w:type="dxa"/>
            <w:tcBorders>
              <w:top w:val="single" w:sz="4" w:space="0" w:color="auto"/>
              <w:left w:val="nil"/>
              <w:bottom w:val="single" w:sz="4" w:space="0" w:color="auto"/>
              <w:right w:val="nil"/>
            </w:tcBorders>
            <w:shd w:val="clear" w:color="auto" w:fill="auto"/>
            <w:vAlign w:val="center"/>
            <w:hideMark/>
          </w:tcPr>
          <w:p w14:paraId="50C94167"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15,270.7</w:t>
            </w:r>
          </w:p>
        </w:tc>
        <w:tc>
          <w:tcPr>
            <w:tcW w:w="1037" w:type="dxa"/>
            <w:tcBorders>
              <w:top w:val="single" w:sz="4" w:space="0" w:color="auto"/>
              <w:left w:val="nil"/>
              <w:bottom w:val="single" w:sz="4" w:space="0" w:color="auto"/>
              <w:right w:val="nil"/>
            </w:tcBorders>
            <w:shd w:val="clear" w:color="auto" w:fill="auto"/>
            <w:vAlign w:val="center"/>
            <w:hideMark/>
          </w:tcPr>
          <w:p w14:paraId="53DEEA9A" w14:textId="097F3619"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18,</w:t>
            </w:r>
            <w:r w:rsidR="00F93E7E" w:rsidRPr="0011239F">
              <w:rPr>
                <w:rFonts w:ascii="Arial" w:hAnsi="Arial" w:cs="Arial"/>
                <w:b/>
                <w:bCs/>
                <w:color w:val="00ABE6"/>
                <w:sz w:val="18"/>
                <w:szCs w:val="18"/>
                <w:lang w:eastAsia="en-AU"/>
              </w:rPr>
              <w:t>193</w:t>
            </w:r>
            <w:r w:rsidRPr="0011239F">
              <w:rPr>
                <w:rFonts w:ascii="Arial" w:hAnsi="Arial" w:cs="Arial"/>
                <w:b/>
                <w:bCs/>
                <w:color w:val="00ABE6"/>
                <w:sz w:val="18"/>
                <w:szCs w:val="18"/>
                <w:lang w:eastAsia="en-AU"/>
              </w:rPr>
              <w:t>.</w:t>
            </w:r>
            <w:r w:rsidR="00F93E7E" w:rsidRPr="0011239F">
              <w:rPr>
                <w:rFonts w:ascii="Arial" w:hAnsi="Arial" w:cs="Arial"/>
                <w:b/>
                <w:bCs/>
                <w:color w:val="00ABE6"/>
                <w:sz w:val="18"/>
                <w:szCs w:val="18"/>
                <w:lang w:eastAsia="en-AU"/>
              </w:rPr>
              <w:t>2</w:t>
            </w:r>
          </w:p>
        </w:tc>
        <w:tc>
          <w:tcPr>
            <w:tcW w:w="952" w:type="dxa"/>
            <w:tcBorders>
              <w:top w:val="single" w:sz="4" w:space="0" w:color="auto"/>
              <w:left w:val="nil"/>
              <w:bottom w:val="single" w:sz="4" w:space="0" w:color="auto"/>
              <w:right w:val="single" w:sz="4" w:space="0" w:color="000000"/>
            </w:tcBorders>
            <w:shd w:val="clear" w:color="auto" w:fill="auto"/>
            <w:vAlign w:val="center"/>
            <w:hideMark/>
          </w:tcPr>
          <w:p w14:paraId="29DAFC26"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19.1</w:t>
            </w:r>
          </w:p>
        </w:tc>
        <w:tc>
          <w:tcPr>
            <w:tcW w:w="895" w:type="dxa"/>
            <w:tcBorders>
              <w:top w:val="single" w:sz="4" w:space="0" w:color="auto"/>
              <w:left w:val="nil"/>
              <w:bottom w:val="single" w:sz="4" w:space="0" w:color="auto"/>
              <w:right w:val="nil"/>
            </w:tcBorders>
            <w:shd w:val="clear" w:color="auto" w:fill="auto"/>
            <w:vAlign w:val="center"/>
            <w:hideMark/>
          </w:tcPr>
          <w:p w14:paraId="51080E5A"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1,674.5</w:t>
            </w:r>
          </w:p>
        </w:tc>
        <w:tc>
          <w:tcPr>
            <w:tcW w:w="993" w:type="dxa"/>
            <w:tcBorders>
              <w:top w:val="single" w:sz="4" w:space="0" w:color="auto"/>
              <w:left w:val="nil"/>
              <w:bottom w:val="single" w:sz="4" w:space="0" w:color="auto"/>
              <w:right w:val="nil"/>
            </w:tcBorders>
            <w:shd w:val="clear" w:color="auto" w:fill="auto"/>
            <w:vAlign w:val="center"/>
            <w:hideMark/>
          </w:tcPr>
          <w:p w14:paraId="3D1B76A6"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2,242.6</w:t>
            </w:r>
          </w:p>
        </w:tc>
        <w:tc>
          <w:tcPr>
            <w:tcW w:w="742" w:type="dxa"/>
            <w:gridSpan w:val="2"/>
            <w:tcBorders>
              <w:top w:val="single" w:sz="4" w:space="0" w:color="auto"/>
              <w:left w:val="nil"/>
              <w:bottom w:val="single" w:sz="4" w:space="0" w:color="auto"/>
            </w:tcBorders>
            <w:shd w:val="clear" w:color="auto" w:fill="auto"/>
            <w:vAlign w:val="center"/>
            <w:hideMark/>
          </w:tcPr>
          <w:p w14:paraId="61A3A3FB"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33.9</w:t>
            </w:r>
          </w:p>
        </w:tc>
      </w:tr>
      <w:tr w:rsidR="00803501" w:rsidRPr="0011239F" w14:paraId="5FE1E957" w14:textId="77777777" w:rsidTr="00A35B83">
        <w:trPr>
          <w:trHeight w:val="290"/>
        </w:trPr>
        <w:tc>
          <w:tcPr>
            <w:tcW w:w="4046" w:type="dxa"/>
            <w:tcBorders>
              <w:top w:val="nil"/>
              <w:left w:val="nil"/>
              <w:bottom w:val="nil"/>
              <w:right w:val="nil"/>
            </w:tcBorders>
            <w:shd w:val="clear" w:color="auto" w:fill="auto"/>
            <w:noWrap/>
            <w:vAlign w:val="center"/>
            <w:hideMark/>
          </w:tcPr>
          <w:p w14:paraId="2CD0BFFC" w14:textId="18F69047" w:rsidR="00803501" w:rsidRPr="0011239F" w:rsidRDefault="00803501" w:rsidP="00E27C1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11239F">
              <w:rPr>
                <w:rFonts w:ascii="Arial" w:hAnsi="Arial" w:cs="Arial"/>
                <w:color w:val="000000"/>
                <w:sz w:val="18"/>
                <w:szCs w:val="18"/>
                <w:lang w:eastAsia="en-AU"/>
              </w:rPr>
              <w:t xml:space="preserve">NSW Education Standards Authority </w:t>
            </w:r>
            <w:r w:rsidR="00E27C10" w:rsidRPr="0011239F">
              <w:rPr>
                <w:rFonts w:ascii="Arial" w:hAnsi="Arial" w:cs="Arial"/>
                <w:color w:val="000000"/>
                <w:sz w:val="18"/>
                <w:szCs w:val="18"/>
                <w:lang w:eastAsia="en-AU"/>
              </w:rPr>
              <w:tab/>
            </w:r>
          </w:p>
        </w:tc>
        <w:tc>
          <w:tcPr>
            <w:tcW w:w="980" w:type="dxa"/>
            <w:tcBorders>
              <w:top w:val="single" w:sz="4" w:space="0" w:color="FFFFFF"/>
              <w:left w:val="nil"/>
              <w:bottom w:val="nil"/>
              <w:right w:val="nil"/>
            </w:tcBorders>
            <w:shd w:val="clear" w:color="auto" w:fill="auto"/>
            <w:noWrap/>
            <w:vAlign w:val="center"/>
            <w:hideMark/>
          </w:tcPr>
          <w:p w14:paraId="5F61EFD4"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172.7</w:t>
            </w:r>
          </w:p>
        </w:tc>
        <w:tc>
          <w:tcPr>
            <w:tcW w:w="1037" w:type="dxa"/>
            <w:tcBorders>
              <w:top w:val="single" w:sz="4" w:space="0" w:color="FFFFFF"/>
              <w:left w:val="nil"/>
              <w:bottom w:val="nil"/>
              <w:right w:val="nil"/>
            </w:tcBorders>
            <w:shd w:val="clear" w:color="auto" w:fill="auto"/>
            <w:noWrap/>
            <w:vAlign w:val="center"/>
            <w:hideMark/>
          </w:tcPr>
          <w:p w14:paraId="4B3A6FB8"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146.2</w:t>
            </w:r>
          </w:p>
        </w:tc>
        <w:tc>
          <w:tcPr>
            <w:tcW w:w="952" w:type="dxa"/>
            <w:tcBorders>
              <w:top w:val="single" w:sz="4" w:space="0" w:color="FFFFFF"/>
              <w:left w:val="nil"/>
              <w:bottom w:val="nil"/>
              <w:right w:val="single" w:sz="4" w:space="0" w:color="000000"/>
            </w:tcBorders>
            <w:shd w:val="clear" w:color="auto" w:fill="auto"/>
            <w:vAlign w:val="center"/>
            <w:hideMark/>
          </w:tcPr>
          <w:p w14:paraId="1BDCC3F5" w14:textId="7513290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w:t>
            </w:r>
            <w:proofErr w:type="gramStart"/>
            <w:r w:rsidRPr="0011239F">
              <w:rPr>
                <w:rFonts w:ascii="Arial" w:hAnsi="Arial" w:cs="Arial"/>
                <w:sz w:val="18"/>
                <w:szCs w:val="18"/>
                <w:lang w:eastAsia="en-AU"/>
              </w:rPr>
              <w:t>15.3)</w:t>
            </w:r>
            <w:r w:rsidR="007D77D6" w:rsidRPr="0011239F">
              <w:rPr>
                <w:rFonts w:ascii="Arial" w:hAnsi="Arial" w:cs="Arial"/>
                <w:sz w:val="18"/>
                <w:szCs w:val="18"/>
                <w:vertAlign w:val="superscript"/>
                <w:lang w:eastAsia="en-AU"/>
              </w:rPr>
              <w:t>(</w:t>
            </w:r>
            <w:proofErr w:type="gramEnd"/>
            <w:r w:rsidR="00D62CFD" w:rsidRPr="0011239F">
              <w:rPr>
                <w:rFonts w:ascii="Arial" w:hAnsi="Arial" w:cs="Arial"/>
                <w:sz w:val="18"/>
                <w:szCs w:val="18"/>
                <w:vertAlign w:val="superscript"/>
                <w:lang w:eastAsia="en-AU"/>
              </w:rPr>
              <w:t>e</w:t>
            </w:r>
            <w:r w:rsidR="007D77D6" w:rsidRPr="0011239F">
              <w:rPr>
                <w:rFonts w:ascii="Arial" w:hAnsi="Arial" w:cs="Arial"/>
                <w:sz w:val="18"/>
                <w:szCs w:val="18"/>
                <w:vertAlign w:val="superscript"/>
                <w:lang w:eastAsia="en-AU"/>
              </w:rPr>
              <w:t>)</w:t>
            </w:r>
          </w:p>
        </w:tc>
        <w:tc>
          <w:tcPr>
            <w:tcW w:w="895" w:type="dxa"/>
            <w:tcBorders>
              <w:top w:val="single" w:sz="4" w:space="0" w:color="FFFFFF"/>
              <w:left w:val="nil"/>
              <w:bottom w:val="nil"/>
              <w:right w:val="nil"/>
            </w:tcBorders>
            <w:shd w:val="clear" w:color="auto" w:fill="auto"/>
            <w:noWrap/>
            <w:vAlign w:val="center"/>
            <w:hideMark/>
          </w:tcPr>
          <w:p w14:paraId="7F5646DF"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1.4</w:t>
            </w:r>
          </w:p>
        </w:tc>
        <w:tc>
          <w:tcPr>
            <w:tcW w:w="993" w:type="dxa"/>
            <w:tcBorders>
              <w:top w:val="single" w:sz="4" w:space="0" w:color="FFFFFF"/>
              <w:left w:val="nil"/>
              <w:bottom w:val="nil"/>
              <w:right w:val="nil"/>
            </w:tcBorders>
            <w:shd w:val="clear" w:color="auto" w:fill="auto"/>
            <w:noWrap/>
            <w:vAlign w:val="center"/>
            <w:hideMark/>
          </w:tcPr>
          <w:p w14:paraId="2BE9D40C"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2.2</w:t>
            </w:r>
          </w:p>
        </w:tc>
        <w:tc>
          <w:tcPr>
            <w:tcW w:w="742" w:type="dxa"/>
            <w:gridSpan w:val="2"/>
            <w:tcBorders>
              <w:top w:val="single" w:sz="4" w:space="0" w:color="auto"/>
              <w:left w:val="nil"/>
              <w:bottom w:val="single" w:sz="4" w:space="0" w:color="auto"/>
            </w:tcBorders>
            <w:shd w:val="clear" w:color="auto" w:fill="auto"/>
            <w:vAlign w:val="center"/>
            <w:hideMark/>
          </w:tcPr>
          <w:p w14:paraId="44788DBA"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59.4</w:t>
            </w:r>
          </w:p>
        </w:tc>
      </w:tr>
      <w:tr w:rsidR="00803501" w:rsidRPr="0011239F" w14:paraId="594532EC" w14:textId="77777777" w:rsidTr="00A35B83">
        <w:trPr>
          <w:trHeight w:val="340"/>
        </w:trPr>
        <w:tc>
          <w:tcPr>
            <w:tcW w:w="4046" w:type="dxa"/>
            <w:tcBorders>
              <w:top w:val="single" w:sz="4" w:space="0" w:color="auto"/>
              <w:left w:val="nil"/>
              <w:bottom w:val="single" w:sz="4" w:space="0" w:color="auto"/>
              <w:right w:val="nil"/>
            </w:tcBorders>
            <w:shd w:val="clear" w:color="auto" w:fill="auto"/>
            <w:noWrap/>
            <w:vAlign w:val="center"/>
            <w:hideMark/>
          </w:tcPr>
          <w:p w14:paraId="78C1A776" w14:textId="77777777" w:rsidR="00803501" w:rsidRPr="0011239F" w:rsidRDefault="00803501" w:rsidP="00803501">
            <w:pPr>
              <w:rPr>
                <w:rFonts w:ascii="Arial" w:hAnsi="Arial" w:cs="Arial"/>
                <w:b/>
                <w:bCs/>
                <w:color w:val="00ABE6"/>
                <w:sz w:val="18"/>
                <w:szCs w:val="18"/>
                <w:lang w:eastAsia="en-AU"/>
              </w:rPr>
            </w:pPr>
            <w:r w:rsidRPr="0011239F">
              <w:rPr>
                <w:rFonts w:ascii="Arial" w:hAnsi="Arial" w:cs="Arial"/>
                <w:b/>
                <w:bCs/>
                <w:color w:val="00ABE6"/>
                <w:sz w:val="18"/>
                <w:szCs w:val="18"/>
                <w:lang w:eastAsia="en-AU"/>
              </w:rPr>
              <w:t>Total Agency</w:t>
            </w:r>
          </w:p>
        </w:tc>
        <w:tc>
          <w:tcPr>
            <w:tcW w:w="980" w:type="dxa"/>
            <w:tcBorders>
              <w:top w:val="single" w:sz="4" w:space="0" w:color="auto"/>
              <w:left w:val="nil"/>
              <w:bottom w:val="single" w:sz="4" w:space="0" w:color="auto"/>
              <w:right w:val="nil"/>
            </w:tcBorders>
            <w:shd w:val="clear" w:color="auto" w:fill="auto"/>
            <w:vAlign w:val="center"/>
            <w:hideMark/>
          </w:tcPr>
          <w:p w14:paraId="3842598C"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172.7</w:t>
            </w:r>
          </w:p>
        </w:tc>
        <w:tc>
          <w:tcPr>
            <w:tcW w:w="1037" w:type="dxa"/>
            <w:tcBorders>
              <w:top w:val="single" w:sz="4" w:space="0" w:color="auto"/>
              <w:left w:val="nil"/>
              <w:bottom w:val="single" w:sz="4" w:space="0" w:color="auto"/>
              <w:right w:val="nil"/>
            </w:tcBorders>
            <w:shd w:val="clear" w:color="auto" w:fill="auto"/>
            <w:vAlign w:val="center"/>
            <w:hideMark/>
          </w:tcPr>
          <w:p w14:paraId="6472171D"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146.2</w:t>
            </w:r>
          </w:p>
        </w:tc>
        <w:tc>
          <w:tcPr>
            <w:tcW w:w="952" w:type="dxa"/>
            <w:tcBorders>
              <w:top w:val="single" w:sz="4" w:space="0" w:color="auto"/>
              <w:left w:val="nil"/>
              <w:bottom w:val="single" w:sz="4" w:space="0" w:color="auto"/>
              <w:right w:val="single" w:sz="4" w:space="0" w:color="000000"/>
            </w:tcBorders>
            <w:shd w:val="clear" w:color="auto" w:fill="auto"/>
            <w:vAlign w:val="center"/>
            <w:hideMark/>
          </w:tcPr>
          <w:p w14:paraId="07EDA9C7" w14:textId="232A7C20" w:rsidR="00803501" w:rsidRPr="0011239F" w:rsidRDefault="00803501" w:rsidP="00803501">
            <w:pPr>
              <w:jc w:val="right"/>
              <w:rPr>
                <w:rFonts w:ascii="Arial" w:hAnsi="Arial" w:cs="Arial"/>
                <w:b/>
                <w:bCs/>
                <w:color w:val="00ABE6"/>
                <w:sz w:val="18"/>
                <w:szCs w:val="18"/>
                <w:vertAlign w:val="superscript"/>
                <w:lang w:eastAsia="en-AU"/>
              </w:rPr>
            </w:pPr>
            <w:r w:rsidRPr="0011239F">
              <w:rPr>
                <w:rFonts w:ascii="Arial" w:hAnsi="Arial" w:cs="Arial"/>
                <w:b/>
                <w:bCs/>
                <w:color w:val="00ABE6"/>
                <w:sz w:val="18"/>
                <w:szCs w:val="18"/>
                <w:lang w:eastAsia="en-AU"/>
              </w:rPr>
              <w:t>(15.3)</w:t>
            </w:r>
          </w:p>
        </w:tc>
        <w:tc>
          <w:tcPr>
            <w:tcW w:w="895" w:type="dxa"/>
            <w:tcBorders>
              <w:top w:val="single" w:sz="4" w:space="0" w:color="auto"/>
              <w:left w:val="nil"/>
              <w:bottom w:val="single" w:sz="4" w:space="0" w:color="auto"/>
              <w:right w:val="nil"/>
            </w:tcBorders>
            <w:shd w:val="clear" w:color="auto" w:fill="auto"/>
            <w:vAlign w:val="center"/>
            <w:hideMark/>
          </w:tcPr>
          <w:p w14:paraId="4396DC88"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1.4</w:t>
            </w:r>
          </w:p>
        </w:tc>
        <w:tc>
          <w:tcPr>
            <w:tcW w:w="993" w:type="dxa"/>
            <w:tcBorders>
              <w:top w:val="single" w:sz="4" w:space="0" w:color="auto"/>
              <w:left w:val="nil"/>
              <w:bottom w:val="single" w:sz="4" w:space="0" w:color="auto"/>
              <w:right w:val="nil"/>
            </w:tcBorders>
            <w:shd w:val="clear" w:color="auto" w:fill="auto"/>
            <w:vAlign w:val="center"/>
            <w:hideMark/>
          </w:tcPr>
          <w:p w14:paraId="0D9731D0"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2.2</w:t>
            </w:r>
          </w:p>
        </w:tc>
        <w:tc>
          <w:tcPr>
            <w:tcW w:w="742" w:type="dxa"/>
            <w:gridSpan w:val="2"/>
            <w:tcBorders>
              <w:top w:val="single" w:sz="4" w:space="0" w:color="auto"/>
              <w:left w:val="nil"/>
              <w:bottom w:val="single" w:sz="4" w:space="0" w:color="auto"/>
            </w:tcBorders>
            <w:shd w:val="clear" w:color="auto" w:fill="auto"/>
            <w:vAlign w:val="center"/>
            <w:hideMark/>
          </w:tcPr>
          <w:p w14:paraId="7C5EBB52"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59.4</w:t>
            </w:r>
          </w:p>
        </w:tc>
      </w:tr>
      <w:tr w:rsidR="00803501" w:rsidRPr="0011239F" w14:paraId="54A36D5F" w14:textId="77777777" w:rsidTr="00A35B83">
        <w:trPr>
          <w:trHeight w:val="330"/>
        </w:trPr>
        <w:tc>
          <w:tcPr>
            <w:tcW w:w="4046" w:type="dxa"/>
            <w:tcBorders>
              <w:top w:val="nil"/>
              <w:left w:val="nil"/>
              <w:bottom w:val="nil"/>
              <w:right w:val="nil"/>
            </w:tcBorders>
            <w:shd w:val="clear" w:color="auto" w:fill="auto"/>
            <w:vAlign w:val="center"/>
            <w:hideMark/>
          </w:tcPr>
          <w:p w14:paraId="765A11C9" w14:textId="2FE8906C" w:rsidR="00803501" w:rsidRPr="0011239F" w:rsidRDefault="00803501" w:rsidP="00E27C10">
            <w:pPr>
              <w:ind w:left="113" w:hanging="113"/>
              <w:rPr>
                <w:rFonts w:ascii="Arial" w:hAnsi="Arial" w:cs="Arial"/>
                <w:b/>
                <w:bCs/>
                <w:i/>
                <w:iCs/>
                <w:color w:val="1F497D"/>
                <w:sz w:val="18"/>
                <w:szCs w:val="18"/>
                <w:lang w:eastAsia="en-AU"/>
              </w:rPr>
            </w:pPr>
            <w:r w:rsidRPr="0011239F">
              <w:rPr>
                <w:rFonts w:ascii="Arial" w:hAnsi="Arial" w:cs="Arial"/>
                <w:b/>
                <w:bCs/>
                <w:i/>
                <w:iCs/>
                <w:color w:val="1F497D"/>
                <w:sz w:val="18"/>
                <w:szCs w:val="18"/>
                <w:lang w:eastAsia="en-AU"/>
              </w:rPr>
              <w:t xml:space="preserve">Agencies transferred from: Industry (GG) Cluster </w:t>
            </w:r>
            <w:r w:rsidRPr="0011239F">
              <w:rPr>
                <w:rFonts w:ascii="Arial" w:hAnsi="Arial" w:cs="Arial"/>
                <w:b/>
                <w:bCs/>
                <w:i/>
                <w:iCs/>
                <w:color w:val="1F497D"/>
                <w:sz w:val="18"/>
                <w:szCs w:val="18"/>
                <w:vertAlign w:val="superscript"/>
                <w:lang w:eastAsia="en-AU"/>
              </w:rPr>
              <w:t>(</w:t>
            </w:r>
            <w:r w:rsidR="007D77D6" w:rsidRPr="0011239F">
              <w:rPr>
                <w:rFonts w:ascii="Arial" w:hAnsi="Arial" w:cs="Arial"/>
                <w:b/>
                <w:bCs/>
                <w:i/>
                <w:iCs/>
                <w:color w:val="1F497D"/>
                <w:sz w:val="18"/>
                <w:szCs w:val="18"/>
                <w:vertAlign w:val="superscript"/>
                <w:lang w:eastAsia="en-AU"/>
              </w:rPr>
              <w:t>b</w:t>
            </w:r>
            <w:r w:rsidRPr="0011239F">
              <w:rPr>
                <w:rFonts w:ascii="Arial" w:hAnsi="Arial" w:cs="Arial"/>
                <w:b/>
                <w:bCs/>
                <w:i/>
                <w:iCs/>
                <w:color w:val="1F497D"/>
                <w:sz w:val="18"/>
                <w:szCs w:val="18"/>
                <w:vertAlign w:val="superscript"/>
                <w:lang w:eastAsia="en-AU"/>
              </w:rPr>
              <w:t>)</w:t>
            </w:r>
          </w:p>
        </w:tc>
        <w:tc>
          <w:tcPr>
            <w:tcW w:w="980" w:type="dxa"/>
            <w:tcBorders>
              <w:top w:val="nil"/>
              <w:left w:val="nil"/>
              <w:bottom w:val="nil"/>
              <w:right w:val="nil"/>
            </w:tcBorders>
            <w:shd w:val="clear" w:color="auto" w:fill="auto"/>
            <w:noWrap/>
            <w:vAlign w:val="center"/>
            <w:hideMark/>
          </w:tcPr>
          <w:p w14:paraId="7869348B" w14:textId="77777777" w:rsidR="00803501" w:rsidRPr="0011239F" w:rsidRDefault="00803501" w:rsidP="00803501">
            <w:pPr>
              <w:rPr>
                <w:rFonts w:ascii="Arial" w:hAnsi="Arial" w:cs="Arial"/>
                <w:b/>
                <w:bCs/>
                <w:i/>
                <w:iCs/>
                <w:color w:val="1F497D"/>
                <w:sz w:val="18"/>
                <w:szCs w:val="18"/>
                <w:lang w:eastAsia="en-AU"/>
              </w:rPr>
            </w:pPr>
          </w:p>
        </w:tc>
        <w:tc>
          <w:tcPr>
            <w:tcW w:w="1037" w:type="dxa"/>
            <w:tcBorders>
              <w:top w:val="nil"/>
              <w:left w:val="nil"/>
              <w:bottom w:val="nil"/>
              <w:right w:val="nil"/>
            </w:tcBorders>
            <w:shd w:val="clear" w:color="auto" w:fill="auto"/>
            <w:vAlign w:val="center"/>
            <w:hideMark/>
          </w:tcPr>
          <w:p w14:paraId="7711A151" w14:textId="77777777" w:rsidR="00803501" w:rsidRPr="0011239F" w:rsidRDefault="00803501" w:rsidP="00803501">
            <w:pPr>
              <w:jc w:val="right"/>
              <w:rPr>
                <w:rFonts w:ascii="Arial" w:hAnsi="Arial" w:cs="Arial"/>
                <w:sz w:val="18"/>
                <w:szCs w:val="18"/>
                <w:lang w:eastAsia="en-AU"/>
              </w:rPr>
            </w:pPr>
          </w:p>
        </w:tc>
        <w:tc>
          <w:tcPr>
            <w:tcW w:w="952" w:type="dxa"/>
            <w:tcBorders>
              <w:top w:val="nil"/>
              <w:left w:val="nil"/>
              <w:bottom w:val="nil"/>
              <w:right w:val="single" w:sz="4" w:space="0" w:color="000000"/>
            </w:tcBorders>
            <w:shd w:val="clear" w:color="auto" w:fill="auto"/>
            <w:vAlign w:val="center"/>
            <w:hideMark/>
          </w:tcPr>
          <w:p w14:paraId="7A66A51F" w14:textId="77777777" w:rsidR="00803501" w:rsidRPr="0011239F" w:rsidRDefault="00803501" w:rsidP="00803501">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895" w:type="dxa"/>
            <w:tcBorders>
              <w:top w:val="nil"/>
              <w:left w:val="nil"/>
              <w:bottom w:val="nil"/>
              <w:right w:val="nil"/>
            </w:tcBorders>
            <w:shd w:val="clear" w:color="auto" w:fill="auto"/>
            <w:vAlign w:val="center"/>
            <w:hideMark/>
          </w:tcPr>
          <w:p w14:paraId="4ED98A7A" w14:textId="77777777" w:rsidR="00803501" w:rsidRPr="0011239F" w:rsidRDefault="00803501" w:rsidP="00803501">
            <w:pPr>
              <w:jc w:val="right"/>
              <w:rPr>
                <w:rFonts w:ascii="Arial" w:hAnsi="Arial" w:cs="Arial"/>
                <w:color w:val="000000"/>
                <w:sz w:val="18"/>
                <w:szCs w:val="18"/>
                <w:lang w:eastAsia="en-AU"/>
              </w:rPr>
            </w:pPr>
          </w:p>
        </w:tc>
        <w:tc>
          <w:tcPr>
            <w:tcW w:w="993" w:type="dxa"/>
            <w:tcBorders>
              <w:top w:val="nil"/>
              <w:left w:val="nil"/>
              <w:bottom w:val="nil"/>
              <w:right w:val="nil"/>
            </w:tcBorders>
            <w:shd w:val="clear" w:color="auto" w:fill="auto"/>
            <w:vAlign w:val="center"/>
            <w:hideMark/>
          </w:tcPr>
          <w:p w14:paraId="0AA239AC" w14:textId="77777777" w:rsidR="00803501" w:rsidRPr="0011239F" w:rsidRDefault="00803501" w:rsidP="00803501">
            <w:pPr>
              <w:jc w:val="right"/>
              <w:rPr>
                <w:rFonts w:ascii="Arial" w:hAnsi="Arial" w:cs="Arial"/>
                <w:sz w:val="18"/>
                <w:szCs w:val="18"/>
                <w:lang w:eastAsia="en-AU"/>
              </w:rPr>
            </w:pPr>
          </w:p>
        </w:tc>
        <w:tc>
          <w:tcPr>
            <w:tcW w:w="742" w:type="dxa"/>
            <w:gridSpan w:val="2"/>
            <w:tcBorders>
              <w:top w:val="single" w:sz="4" w:space="0" w:color="auto"/>
              <w:left w:val="nil"/>
            </w:tcBorders>
            <w:shd w:val="clear" w:color="auto" w:fill="auto"/>
            <w:vAlign w:val="center"/>
            <w:hideMark/>
          </w:tcPr>
          <w:p w14:paraId="0C8B3CAD" w14:textId="77777777" w:rsidR="00803501" w:rsidRPr="0011239F" w:rsidRDefault="00803501" w:rsidP="00803501">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803501" w:rsidRPr="0011239F" w14:paraId="17277DCC" w14:textId="77777777" w:rsidTr="00A35B83">
        <w:trPr>
          <w:trHeight w:val="290"/>
        </w:trPr>
        <w:tc>
          <w:tcPr>
            <w:tcW w:w="4046" w:type="dxa"/>
            <w:tcBorders>
              <w:top w:val="nil"/>
              <w:left w:val="nil"/>
              <w:bottom w:val="nil"/>
              <w:right w:val="nil"/>
            </w:tcBorders>
            <w:shd w:val="clear" w:color="auto" w:fill="auto"/>
            <w:noWrap/>
            <w:vAlign w:val="bottom"/>
            <w:hideMark/>
          </w:tcPr>
          <w:p w14:paraId="1CA7BC04" w14:textId="26726880" w:rsidR="00803501" w:rsidRPr="0011239F" w:rsidRDefault="00803501" w:rsidP="00E27C1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11239F">
              <w:rPr>
                <w:rFonts w:ascii="Arial" w:hAnsi="Arial" w:cs="Arial"/>
                <w:color w:val="000000"/>
                <w:sz w:val="18"/>
                <w:szCs w:val="18"/>
                <w:lang w:eastAsia="en-AU"/>
              </w:rPr>
              <w:t>TAFE Commission</w:t>
            </w:r>
            <w:r w:rsidR="00E27C10" w:rsidRPr="0011239F">
              <w:rPr>
                <w:rFonts w:ascii="Arial" w:hAnsi="Arial" w:cs="Arial"/>
                <w:color w:val="000000"/>
                <w:sz w:val="18"/>
                <w:szCs w:val="18"/>
                <w:lang w:eastAsia="en-AU"/>
              </w:rPr>
              <w:t xml:space="preserve"> </w:t>
            </w:r>
            <w:r w:rsidR="00E27C10" w:rsidRPr="0011239F">
              <w:rPr>
                <w:rFonts w:ascii="Arial" w:hAnsi="Arial" w:cs="Arial"/>
                <w:color w:val="000000"/>
                <w:sz w:val="18"/>
                <w:szCs w:val="18"/>
                <w:lang w:eastAsia="en-AU"/>
              </w:rPr>
              <w:tab/>
            </w:r>
          </w:p>
        </w:tc>
        <w:tc>
          <w:tcPr>
            <w:tcW w:w="980" w:type="dxa"/>
            <w:tcBorders>
              <w:top w:val="single" w:sz="4" w:space="0" w:color="FFFFFF"/>
              <w:left w:val="nil"/>
              <w:bottom w:val="nil"/>
              <w:right w:val="nil"/>
            </w:tcBorders>
            <w:shd w:val="clear" w:color="auto" w:fill="auto"/>
            <w:noWrap/>
            <w:vAlign w:val="center"/>
            <w:hideMark/>
          </w:tcPr>
          <w:p w14:paraId="69E4AB82"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1,794.7</w:t>
            </w:r>
          </w:p>
        </w:tc>
        <w:tc>
          <w:tcPr>
            <w:tcW w:w="1037" w:type="dxa"/>
            <w:tcBorders>
              <w:top w:val="single" w:sz="4" w:space="0" w:color="FFFFFF"/>
              <w:left w:val="nil"/>
              <w:bottom w:val="nil"/>
              <w:right w:val="nil"/>
            </w:tcBorders>
            <w:shd w:val="clear" w:color="auto" w:fill="auto"/>
            <w:noWrap/>
            <w:vAlign w:val="center"/>
            <w:hideMark/>
          </w:tcPr>
          <w:p w14:paraId="04949410"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1,850.3</w:t>
            </w:r>
          </w:p>
        </w:tc>
        <w:tc>
          <w:tcPr>
            <w:tcW w:w="952" w:type="dxa"/>
            <w:tcBorders>
              <w:top w:val="single" w:sz="4" w:space="0" w:color="FFFFFF"/>
              <w:left w:val="nil"/>
              <w:bottom w:val="nil"/>
              <w:right w:val="single" w:sz="4" w:space="0" w:color="000000"/>
            </w:tcBorders>
            <w:shd w:val="clear" w:color="auto" w:fill="auto"/>
            <w:vAlign w:val="center"/>
            <w:hideMark/>
          </w:tcPr>
          <w:p w14:paraId="5300EAA0"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3.1</w:t>
            </w:r>
          </w:p>
        </w:tc>
        <w:tc>
          <w:tcPr>
            <w:tcW w:w="895" w:type="dxa"/>
            <w:tcBorders>
              <w:top w:val="single" w:sz="4" w:space="0" w:color="FFFFFF"/>
              <w:left w:val="nil"/>
              <w:bottom w:val="nil"/>
              <w:right w:val="nil"/>
            </w:tcBorders>
            <w:shd w:val="clear" w:color="auto" w:fill="auto"/>
            <w:noWrap/>
            <w:vAlign w:val="center"/>
            <w:hideMark/>
          </w:tcPr>
          <w:p w14:paraId="6535DA88"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146.1</w:t>
            </w:r>
          </w:p>
        </w:tc>
        <w:tc>
          <w:tcPr>
            <w:tcW w:w="993" w:type="dxa"/>
            <w:tcBorders>
              <w:top w:val="single" w:sz="4" w:space="0" w:color="FFFFFF"/>
              <w:left w:val="nil"/>
              <w:bottom w:val="nil"/>
              <w:right w:val="nil"/>
            </w:tcBorders>
            <w:shd w:val="clear" w:color="auto" w:fill="auto"/>
            <w:noWrap/>
            <w:vAlign w:val="center"/>
            <w:hideMark/>
          </w:tcPr>
          <w:p w14:paraId="5E0D8E83"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137.2</w:t>
            </w:r>
          </w:p>
        </w:tc>
        <w:tc>
          <w:tcPr>
            <w:tcW w:w="742" w:type="dxa"/>
            <w:gridSpan w:val="2"/>
            <w:tcBorders>
              <w:left w:val="nil"/>
              <w:bottom w:val="single" w:sz="4" w:space="0" w:color="auto"/>
            </w:tcBorders>
            <w:shd w:val="clear" w:color="auto" w:fill="auto"/>
            <w:vAlign w:val="center"/>
            <w:hideMark/>
          </w:tcPr>
          <w:p w14:paraId="49212223" w14:textId="77777777" w:rsidR="00803501" w:rsidRPr="0011239F" w:rsidRDefault="00803501" w:rsidP="00803501">
            <w:pPr>
              <w:jc w:val="right"/>
              <w:rPr>
                <w:rFonts w:ascii="Arial" w:hAnsi="Arial" w:cs="Arial"/>
                <w:sz w:val="18"/>
                <w:szCs w:val="18"/>
                <w:lang w:eastAsia="en-AU"/>
              </w:rPr>
            </w:pPr>
            <w:r w:rsidRPr="0011239F">
              <w:rPr>
                <w:rFonts w:ascii="Arial" w:hAnsi="Arial" w:cs="Arial"/>
                <w:sz w:val="18"/>
                <w:szCs w:val="18"/>
                <w:lang w:eastAsia="en-AU"/>
              </w:rPr>
              <w:t>(6.1)</w:t>
            </w:r>
          </w:p>
        </w:tc>
      </w:tr>
      <w:tr w:rsidR="00803501" w:rsidRPr="0011239F" w14:paraId="1F8FF425" w14:textId="77777777" w:rsidTr="00A35B83">
        <w:trPr>
          <w:trHeight w:val="340"/>
        </w:trPr>
        <w:tc>
          <w:tcPr>
            <w:tcW w:w="4046" w:type="dxa"/>
            <w:tcBorders>
              <w:top w:val="single" w:sz="4" w:space="0" w:color="auto"/>
              <w:left w:val="nil"/>
              <w:bottom w:val="single" w:sz="4" w:space="0" w:color="auto"/>
              <w:right w:val="nil"/>
            </w:tcBorders>
            <w:shd w:val="clear" w:color="auto" w:fill="auto"/>
            <w:noWrap/>
            <w:vAlign w:val="center"/>
            <w:hideMark/>
          </w:tcPr>
          <w:p w14:paraId="6111AFDB" w14:textId="77777777" w:rsidR="00803501" w:rsidRPr="0011239F" w:rsidRDefault="00803501" w:rsidP="00803501">
            <w:pPr>
              <w:rPr>
                <w:rFonts w:ascii="Arial" w:hAnsi="Arial" w:cs="Arial"/>
                <w:b/>
                <w:bCs/>
                <w:color w:val="00ABE6"/>
                <w:sz w:val="18"/>
                <w:szCs w:val="18"/>
                <w:lang w:eastAsia="en-AU"/>
              </w:rPr>
            </w:pPr>
            <w:r w:rsidRPr="0011239F">
              <w:rPr>
                <w:rFonts w:ascii="Arial" w:hAnsi="Arial" w:cs="Arial"/>
                <w:b/>
                <w:bCs/>
                <w:color w:val="00ABE6"/>
                <w:sz w:val="18"/>
                <w:szCs w:val="18"/>
                <w:lang w:eastAsia="en-AU"/>
              </w:rPr>
              <w:t xml:space="preserve">Total Transferred </w:t>
            </w:r>
            <w:proofErr w:type="gramStart"/>
            <w:r w:rsidRPr="0011239F">
              <w:rPr>
                <w:rFonts w:ascii="Arial" w:hAnsi="Arial" w:cs="Arial"/>
                <w:b/>
                <w:bCs/>
                <w:color w:val="00ABE6"/>
                <w:sz w:val="18"/>
                <w:szCs w:val="18"/>
                <w:lang w:eastAsia="en-AU"/>
              </w:rPr>
              <w:t>In</w:t>
            </w:r>
            <w:proofErr w:type="gramEnd"/>
            <w:r w:rsidRPr="0011239F">
              <w:rPr>
                <w:rFonts w:ascii="Arial" w:hAnsi="Arial" w:cs="Arial"/>
                <w:b/>
                <w:bCs/>
                <w:color w:val="00ABE6"/>
                <w:sz w:val="18"/>
                <w:szCs w:val="18"/>
                <w:lang w:eastAsia="en-AU"/>
              </w:rPr>
              <w:t xml:space="preserve"> Agency</w:t>
            </w:r>
          </w:p>
        </w:tc>
        <w:tc>
          <w:tcPr>
            <w:tcW w:w="980" w:type="dxa"/>
            <w:tcBorders>
              <w:top w:val="single" w:sz="4" w:space="0" w:color="auto"/>
              <w:left w:val="nil"/>
              <w:bottom w:val="single" w:sz="4" w:space="0" w:color="auto"/>
              <w:right w:val="nil"/>
            </w:tcBorders>
            <w:shd w:val="clear" w:color="auto" w:fill="auto"/>
            <w:vAlign w:val="center"/>
            <w:hideMark/>
          </w:tcPr>
          <w:p w14:paraId="7E945FF6"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1,794.7</w:t>
            </w:r>
          </w:p>
        </w:tc>
        <w:tc>
          <w:tcPr>
            <w:tcW w:w="1037" w:type="dxa"/>
            <w:tcBorders>
              <w:top w:val="single" w:sz="4" w:space="0" w:color="auto"/>
              <w:left w:val="nil"/>
              <w:bottom w:val="single" w:sz="4" w:space="0" w:color="auto"/>
              <w:right w:val="nil"/>
            </w:tcBorders>
            <w:shd w:val="clear" w:color="auto" w:fill="auto"/>
            <w:vAlign w:val="center"/>
            <w:hideMark/>
          </w:tcPr>
          <w:p w14:paraId="1D3266CA"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1,850.3</w:t>
            </w:r>
          </w:p>
        </w:tc>
        <w:tc>
          <w:tcPr>
            <w:tcW w:w="952" w:type="dxa"/>
            <w:tcBorders>
              <w:top w:val="single" w:sz="4" w:space="0" w:color="auto"/>
              <w:left w:val="nil"/>
              <w:bottom w:val="single" w:sz="4" w:space="0" w:color="auto"/>
              <w:right w:val="single" w:sz="4" w:space="0" w:color="000000"/>
            </w:tcBorders>
            <w:shd w:val="clear" w:color="auto" w:fill="auto"/>
            <w:vAlign w:val="center"/>
            <w:hideMark/>
          </w:tcPr>
          <w:p w14:paraId="319E2821"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3.1</w:t>
            </w:r>
          </w:p>
        </w:tc>
        <w:tc>
          <w:tcPr>
            <w:tcW w:w="895" w:type="dxa"/>
            <w:tcBorders>
              <w:top w:val="single" w:sz="4" w:space="0" w:color="auto"/>
              <w:left w:val="nil"/>
              <w:bottom w:val="single" w:sz="4" w:space="0" w:color="auto"/>
              <w:right w:val="nil"/>
            </w:tcBorders>
            <w:shd w:val="clear" w:color="auto" w:fill="auto"/>
            <w:vAlign w:val="center"/>
            <w:hideMark/>
          </w:tcPr>
          <w:p w14:paraId="1B763E2D"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146.1</w:t>
            </w:r>
          </w:p>
        </w:tc>
        <w:tc>
          <w:tcPr>
            <w:tcW w:w="993" w:type="dxa"/>
            <w:tcBorders>
              <w:top w:val="single" w:sz="4" w:space="0" w:color="auto"/>
              <w:left w:val="nil"/>
              <w:bottom w:val="single" w:sz="4" w:space="0" w:color="auto"/>
              <w:right w:val="nil"/>
            </w:tcBorders>
            <w:shd w:val="clear" w:color="auto" w:fill="auto"/>
            <w:vAlign w:val="center"/>
            <w:hideMark/>
          </w:tcPr>
          <w:p w14:paraId="223C0311"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137.2</w:t>
            </w:r>
          </w:p>
        </w:tc>
        <w:tc>
          <w:tcPr>
            <w:tcW w:w="742" w:type="dxa"/>
            <w:gridSpan w:val="2"/>
            <w:tcBorders>
              <w:top w:val="single" w:sz="4" w:space="0" w:color="auto"/>
              <w:left w:val="nil"/>
              <w:bottom w:val="single" w:sz="4" w:space="0" w:color="auto"/>
            </w:tcBorders>
            <w:shd w:val="clear" w:color="auto" w:fill="auto"/>
            <w:vAlign w:val="center"/>
            <w:hideMark/>
          </w:tcPr>
          <w:p w14:paraId="734E57EC" w14:textId="77777777" w:rsidR="00803501" w:rsidRPr="0011239F" w:rsidRDefault="00803501" w:rsidP="00803501">
            <w:pPr>
              <w:jc w:val="right"/>
              <w:rPr>
                <w:rFonts w:ascii="Arial" w:hAnsi="Arial" w:cs="Arial"/>
                <w:b/>
                <w:bCs/>
                <w:color w:val="00ABE6"/>
                <w:sz w:val="18"/>
                <w:szCs w:val="18"/>
                <w:lang w:eastAsia="en-AU"/>
              </w:rPr>
            </w:pPr>
            <w:r w:rsidRPr="0011239F">
              <w:rPr>
                <w:rFonts w:ascii="Arial" w:hAnsi="Arial" w:cs="Arial"/>
                <w:b/>
                <w:bCs/>
                <w:color w:val="00ABE6"/>
                <w:sz w:val="18"/>
                <w:szCs w:val="18"/>
                <w:lang w:eastAsia="en-AU"/>
              </w:rPr>
              <w:t>(6.1)</w:t>
            </w:r>
          </w:p>
        </w:tc>
      </w:tr>
    </w:tbl>
    <w:p w14:paraId="6F714D1B" w14:textId="77777777" w:rsidR="00803501" w:rsidRPr="0011239F" w:rsidRDefault="00803501">
      <w:pPr>
        <w:rPr>
          <w:rFonts w:ascii="Arial" w:hAnsi="Arial" w:cs="Arial"/>
          <w:sz w:val="6"/>
          <w:szCs w:val="6"/>
        </w:rPr>
      </w:pPr>
    </w:p>
    <w:p w14:paraId="5CAF5497" w14:textId="0CBF9A18" w:rsidR="007D77D6" w:rsidRPr="0011239F" w:rsidRDefault="007D77D6" w:rsidP="007D77D6">
      <w:pPr>
        <w:pStyle w:val="ListParagraph"/>
        <w:numPr>
          <w:ilvl w:val="0"/>
          <w:numId w:val="50"/>
        </w:numPr>
        <w:rPr>
          <w:rFonts w:cs="Arial"/>
          <w:sz w:val="17"/>
          <w:szCs w:val="17"/>
        </w:rPr>
      </w:pPr>
      <w:r w:rsidRPr="0011239F">
        <w:rPr>
          <w:rFonts w:cs="Arial"/>
          <w:sz w:val="17"/>
          <w:szCs w:val="17"/>
        </w:rPr>
        <w:t>This table shows expenses on an uneliminated cluster basis.</w:t>
      </w:r>
    </w:p>
    <w:p w14:paraId="2D873761" w14:textId="3764419B" w:rsidR="007D77D6" w:rsidRPr="0011239F" w:rsidRDefault="007D77D6" w:rsidP="006F6E57">
      <w:pPr>
        <w:pStyle w:val="ListParagraph"/>
        <w:numPr>
          <w:ilvl w:val="0"/>
          <w:numId w:val="50"/>
        </w:numPr>
        <w:rPr>
          <w:rFonts w:cs="Arial"/>
          <w:sz w:val="17"/>
          <w:szCs w:val="17"/>
        </w:rPr>
      </w:pPr>
      <w:r w:rsidRPr="0011239F">
        <w:rPr>
          <w:rFonts w:cs="Arial"/>
          <w:sz w:val="17"/>
          <w:szCs w:val="17"/>
        </w:rPr>
        <w:t>The TAFE Commission transfers from the former Industry cluster effective 1 July 2019.</w:t>
      </w:r>
    </w:p>
    <w:p w14:paraId="56C1508E" w14:textId="6382FD1F" w:rsidR="007D77D6" w:rsidRPr="0011239F" w:rsidRDefault="007D77D6" w:rsidP="007D77D6">
      <w:pPr>
        <w:pStyle w:val="ListParagraph"/>
        <w:numPr>
          <w:ilvl w:val="0"/>
          <w:numId w:val="50"/>
        </w:numPr>
        <w:rPr>
          <w:rFonts w:cs="Arial"/>
          <w:sz w:val="17"/>
          <w:szCs w:val="17"/>
        </w:rPr>
      </w:pPr>
      <w:r w:rsidRPr="0011239F">
        <w:rPr>
          <w:rFonts w:cs="Arial"/>
          <w:sz w:val="17"/>
          <w:szCs w:val="17"/>
        </w:rPr>
        <w:t>For 2019-20, the Education cluster includes the functions of the former Industry cluster under legislation allocated to the Minister for Skills and Tertiary Education effective 1 July 2019 excluding the TAFE Commission which is reported separately. For 2019-20, the Education cluster transfers Aboriginal Affairs NSW to the Premier and Cabinet cluster.</w:t>
      </w:r>
    </w:p>
    <w:p w14:paraId="33357E6E" w14:textId="4417BC2B" w:rsidR="00D62CFD" w:rsidRPr="0011239F" w:rsidRDefault="00D62CFD" w:rsidP="007D77D6">
      <w:pPr>
        <w:pStyle w:val="ListParagraph"/>
        <w:numPr>
          <w:ilvl w:val="0"/>
          <w:numId w:val="50"/>
        </w:numPr>
        <w:rPr>
          <w:rFonts w:cs="Arial"/>
          <w:sz w:val="17"/>
          <w:szCs w:val="17"/>
        </w:rPr>
      </w:pPr>
      <w:r w:rsidRPr="0011239F">
        <w:rPr>
          <w:rFonts w:cs="Arial"/>
          <w:sz w:val="17"/>
          <w:szCs w:val="17"/>
        </w:rPr>
        <w:t>Reduction in cluster grants due to NESA services, which will now be directly paid by the Department of Education.</w:t>
      </w:r>
    </w:p>
    <w:p w14:paraId="60474EA6" w14:textId="2F387061" w:rsidR="00DE7EFB" w:rsidRDefault="007D77D6" w:rsidP="00DD68D0">
      <w:pPr>
        <w:pStyle w:val="ListParagraph"/>
        <w:numPr>
          <w:ilvl w:val="0"/>
          <w:numId w:val="50"/>
        </w:numPr>
        <w:spacing w:after="0" w:line="240" w:lineRule="auto"/>
        <w:ind w:left="357" w:hanging="357"/>
        <w:rPr>
          <w:rFonts w:cs="Arial"/>
          <w:sz w:val="17"/>
          <w:szCs w:val="17"/>
        </w:rPr>
      </w:pPr>
      <w:r w:rsidRPr="0011239F">
        <w:rPr>
          <w:rFonts w:cs="Arial"/>
          <w:sz w:val="17"/>
          <w:szCs w:val="17"/>
        </w:rPr>
        <w:t>Expenses for the NSW Education Standards Authority were higher in 2018-19 due to one-off items such as the implementation of NAPLAN Online and NSW Curriculum Review.</w:t>
      </w:r>
    </w:p>
    <w:p w14:paraId="233C0A17" w14:textId="77777777" w:rsidR="00C45580" w:rsidRPr="00C45580" w:rsidRDefault="00C45580" w:rsidP="00C45580">
      <w:pPr>
        <w:rPr>
          <w:rFonts w:ascii="Arial" w:hAnsi="Arial" w:cs="Arial"/>
          <w:sz w:val="6"/>
          <w:szCs w:val="6"/>
        </w:rPr>
      </w:pPr>
    </w:p>
    <w:p w14:paraId="03C3477B" w14:textId="7599E9B6" w:rsidR="00966C95" w:rsidRPr="0011239F" w:rsidRDefault="00966C95" w:rsidP="0096075A">
      <w:pPr>
        <w:rPr>
          <w:rFonts w:ascii="Arial" w:eastAsia="Calibri" w:hAnsi="Arial" w:cs="Arial"/>
          <w:sz w:val="17"/>
          <w:szCs w:val="17"/>
        </w:rPr>
      </w:pPr>
      <w:r w:rsidRPr="0011239F">
        <w:rPr>
          <w:rFonts w:ascii="Arial" w:hAnsi="Arial" w:cs="Arial"/>
          <w:sz w:val="17"/>
          <w:szCs w:val="17"/>
        </w:rPr>
        <w:t>Note: Some sub-totals in this table may not be exactly equal to the sum of agency totals due to rounding.</w:t>
      </w:r>
    </w:p>
    <w:p w14:paraId="3556813C" w14:textId="77777777" w:rsidR="00E27C10" w:rsidRPr="0011239F" w:rsidRDefault="00E27C10" w:rsidP="0096075A">
      <w:pPr>
        <w:pStyle w:val="ListParagraph"/>
        <w:ind w:left="360"/>
        <w:rPr>
          <w:rFonts w:cs="Arial"/>
          <w:sz w:val="17"/>
          <w:szCs w:val="17"/>
        </w:rPr>
        <w:sectPr w:rsidR="00E27C10" w:rsidRPr="0011239F" w:rsidSect="00383B36">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567" w:left="1134" w:header="454" w:footer="454" w:gutter="0"/>
          <w:cols w:space="720"/>
          <w:titlePg/>
          <w:docGrid w:linePitch="272"/>
        </w:sectPr>
      </w:pPr>
    </w:p>
    <w:p w14:paraId="315510E7" w14:textId="1C69CE00" w:rsidR="005F73E3" w:rsidRPr="0011239F" w:rsidRDefault="000424F7" w:rsidP="00C36202">
      <w:pPr>
        <w:pStyle w:val="Heading2"/>
        <w:rPr>
          <w:rFonts w:ascii="Arial" w:hAnsi="Arial" w:cs="Arial"/>
        </w:rPr>
      </w:pPr>
      <w:r w:rsidRPr="0011239F">
        <w:rPr>
          <w:rFonts w:ascii="Arial" w:hAnsi="Arial" w:cs="Arial"/>
        </w:rPr>
        <w:lastRenderedPageBreak/>
        <w:t>Financial Statements</w:t>
      </w:r>
    </w:p>
    <w:p w14:paraId="77DB7126" w14:textId="77777777" w:rsidR="007940B2" w:rsidRPr="0011239F" w:rsidRDefault="007940B2" w:rsidP="00653655">
      <w:pPr>
        <w:pStyle w:val="Heading3"/>
        <w:rPr>
          <w:rFonts w:cs="Arial"/>
        </w:rPr>
      </w:pPr>
      <w:r w:rsidRPr="0011239F">
        <w:rPr>
          <w:rFonts w:cs="Arial"/>
        </w:rPr>
        <w:t>Department of Education</w:t>
      </w:r>
    </w:p>
    <w:p w14:paraId="3890B664" w14:textId="77777777" w:rsidR="007940B2" w:rsidRPr="0011239F" w:rsidRDefault="007940B2" w:rsidP="00653655">
      <w:pPr>
        <w:pStyle w:val="Heading4"/>
        <w:rPr>
          <w:rFonts w:cs="Arial"/>
          <w:lang w:eastAsia="en-AU"/>
        </w:rPr>
      </w:pPr>
      <w:r w:rsidRPr="0011239F">
        <w:rPr>
          <w:rFonts w:cs="Arial"/>
          <w:lang w:eastAsia="en-AU"/>
        </w:rPr>
        <w:t>Operating Statement</w:t>
      </w:r>
    </w:p>
    <w:tbl>
      <w:tblPr>
        <w:tblW w:w="5015" w:type="pct"/>
        <w:tblLook w:val="04A0" w:firstRow="1" w:lastRow="0" w:firstColumn="1" w:lastColumn="0" w:noHBand="0" w:noVBand="1"/>
        <w:tblCaption w:val="Department of Education"/>
        <w:tblDescription w:val="Department of Education - Operating Statement"/>
      </w:tblPr>
      <w:tblGrid>
        <w:gridCol w:w="6101"/>
        <w:gridCol w:w="1191"/>
        <w:gridCol w:w="1191"/>
        <w:gridCol w:w="1185"/>
      </w:tblGrid>
      <w:tr w:rsidR="003C6E9F" w:rsidRPr="0011239F" w14:paraId="6260F8F5" w14:textId="77777777" w:rsidTr="003C6E9F">
        <w:trPr>
          <w:trHeight w:val="283"/>
        </w:trPr>
        <w:tc>
          <w:tcPr>
            <w:tcW w:w="3154" w:type="pct"/>
            <w:shd w:val="clear" w:color="auto" w:fill="00ABE6"/>
            <w:vAlign w:val="center"/>
            <w:hideMark/>
          </w:tcPr>
          <w:p w14:paraId="2F68C68B"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30" w:type="pct"/>
            <w:gridSpan w:val="2"/>
            <w:shd w:val="clear" w:color="auto" w:fill="00ABE6"/>
            <w:vAlign w:val="bottom"/>
            <w:hideMark/>
          </w:tcPr>
          <w:p w14:paraId="619597D6"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3" w:type="pct"/>
            <w:shd w:val="clear" w:color="auto" w:fill="00ABE6"/>
            <w:vAlign w:val="bottom"/>
            <w:hideMark/>
          </w:tcPr>
          <w:p w14:paraId="42EEE8AC"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5FC80313" w14:textId="77777777" w:rsidTr="003C6E9F">
        <w:trPr>
          <w:trHeight w:val="255"/>
        </w:trPr>
        <w:tc>
          <w:tcPr>
            <w:tcW w:w="3154" w:type="pct"/>
            <w:shd w:val="clear" w:color="auto" w:fill="00ABE6"/>
            <w:vAlign w:val="center"/>
            <w:hideMark/>
          </w:tcPr>
          <w:p w14:paraId="3D3BAD1D"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4" w:type="pct"/>
            <w:shd w:val="clear" w:color="auto" w:fill="00ABE6"/>
            <w:vAlign w:val="center"/>
            <w:hideMark/>
          </w:tcPr>
          <w:p w14:paraId="356D10C5"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5" w:type="pct"/>
            <w:shd w:val="clear" w:color="auto" w:fill="00ABE6"/>
            <w:vAlign w:val="center"/>
            <w:hideMark/>
          </w:tcPr>
          <w:p w14:paraId="34292A3D"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3" w:type="pct"/>
            <w:shd w:val="clear" w:color="auto" w:fill="00ABE6"/>
            <w:vAlign w:val="center"/>
            <w:hideMark/>
          </w:tcPr>
          <w:p w14:paraId="2A462361"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77B88D3D" w14:textId="77777777" w:rsidTr="003C6E9F">
        <w:trPr>
          <w:trHeight w:val="238"/>
        </w:trPr>
        <w:tc>
          <w:tcPr>
            <w:tcW w:w="3154" w:type="pct"/>
            <w:shd w:val="clear" w:color="auto" w:fill="0A7CB9"/>
            <w:vAlign w:val="center"/>
            <w:hideMark/>
          </w:tcPr>
          <w:p w14:paraId="172ACAA5"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4" w:type="pct"/>
            <w:shd w:val="clear" w:color="auto" w:fill="0A7CB9"/>
            <w:hideMark/>
          </w:tcPr>
          <w:p w14:paraId="5FACCE24"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5" w:type="pct"/>
            <w:shd w:val="clear" w:color="auto" w:fill="0A7CB9"/>
            <w:hideMark/>
          </w:tcPr>
          <w:p w14:paraId="036D2FBF"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3" w:type="pct"/>
            <w:shd w:val="clear" w:color="auto" w:fill="0A7CB9"/>
            <w:hideMark/>
          </w:tcPr>
          <w:p w14:paraId="0ECD5EBF"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5EAC57FC" w14:textId="77777777" w:rsidTr="003C6E9F">
        <w:trPr>
          <w:trHeight w:val="225"/>
        </w:trPr>
        <w:tc>
          <w:tcPr>
            <w:tcW w:w="315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41BFB64"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Expenses Excluding Losses</w:t>
            </w:r>
          </w:p>
        </w:tc>
        <w:tc>
          <w:tcPr>
            <w:tcW w:w="616" w:type="pct"/>
            <w:tcBorders>
              <w:top w:val="single" w:sz="4" w:space="0" w:color="FFFFFF"/>
              <w:left w:val="nil"/>
              <w:bottom w:val="single" w:sz="4" w:space="0" w:color="FFFFFF"/>
              <w:right w:val="single" w:sz="4" w:space="0" w:color="FFFFFF"/>
            </w:tcBorders>
            <w:shd w:val="clear" w:color="auto" w:fill="auto"/>
            <w:noWrap/>
            <w:vAlign w:val="bottom"/>
            <w:hideMark/>
          </w:tcPr>
          <w:p w14:paraId="7088327F"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single" w:sz="4" w:space="0" w:color="FFFFFF"/>
              <w:left w:val="nil"/>
              <w:bottom w:val="single" w:sz="4" w:space="0" w:color="FFFFFF"/>
              <w:right w:val="single" w:sz="4" w:space="0" w:color="FFFFFF"/>
            </w:tcBorders>
            <w:shd w:val="clear" w:color="auto" w:fill="auto"/>
            <w:noWrap/>
            <w:vAlign w:val="bottom"/>
            <w:hideMark/>
          </w:tcPr>
          <w:p w14:paraId="3406260D"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FFFFFF"/>
              <w:left w:val="nil"/>
              <w:bottom w:val="single" w:sz="4" w:space="0" w:color="FFFFFF"/>
              <w:right w:val="single" w:sz="4" w:space="0" w:color="FFFFFF"/>
            </w:tcBorders>
            <w:shd w:val="clear" w:color="auto" w:fill="auto"/>
            <w:noWrap/>
            <w:vAlign w:val="bottom"/>
            <w:hideMark/>
          </w:tcPr>
          <w:p w14:paraId="6AEE9A8F"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4C9AEEB"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4B8381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Operating Expenses -</w:t>
            </w:r>
          </w:p>
        </w:tc>
        <w:tc>
          <w:tcPr>
            <w:tcW w:w="616" w:type="pct"/>
            <w:tcBorders>
              <w:top w:val="nil"/>
              <w:left w:val="nil"/>
              <w:bottom w:val="single" w:sz="4" w:space="0" w:color="FFFFFF"/>
              <w:right w:val="single" w:sz="4" w:space="0" w:color="FFFFFF"/>
            </w:tcBorders>
            <w:shd w:val="clear" w:color="auto" w:fill="auto"/>
            <w:noWrap/>
            <w:vAlign w:val="bottom"/>
            <w:hideMark/>
          </w:tcPr>
          <w:p w14:paraId="7A4C8027"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c>
          <w:tcPr>
            <w:tcW w:w="616" w:type="pct"/>
            <w:tcBorders>
              <w:top w:val="nil"/>
              <w:left w:val="nil"/>
              <w:bottom w:val="single" w:sz="4" w:space="0" w:color="FFFFFF"/>
              <w:right w:val="single" w:sz="4" w:space="0" w:color="FFFFFF"/>
            </w:tcBorders>
            <w:shd w:val="clear" w:color="auto" w:fill="auto"/>
            <w:noWrap/>
            <w:vAlign w:val="bottom"/>
            <w:hideMark/>
          </w:tcPr>
          <w:p w14:paraId="63DD420A"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3A3B6CCC"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r>
      <w:tr w:rsidR="007940B2" w:rsidRPr="0011239F" w14:paraId="5AB33344"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8483AED"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Employee Related</w:t>
            </w:r>
          </w:p>
        </w:tc>
        <w:tc>
          <w:tcPr>
            <w:tcW w:w="616" w:type="pct"/>
            <w:tcBorders>
              <w:top w:val="nil"/>
              <w:left w:val="nil"/>
              <w:bottom w:val="single" w:sz="4" w:space="0" w:color="FFFFFF"/>
              <w:right w:val="single" w:sz="4" w:space="0" w:color="FFFFFF"/>
            </w:tcBorders>
            <w:shd w:val="clear" w:color="auto" w:fill="auto"/>
            <w:noWrap/>
            <w:vAlign w:val="center"/>
            <w:hideMark/>
          </w:tcPr>
          <w:p w14:paraId="2609498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9,850,821</w:t>
            </w:r>
          </w:p>
        </w:tc>
        <w:tc>
          <w:tcPr>
            <w:tcW w:w="616" w:type="pct"/>
            <w:tcBorders>
              <w:top w:val="nil"/>
              <w:left w:val="nil"/>
              <w:bottom w:val="single" w:sz="4" w:space="0" w:color="FFFFFF"/>
              <w:right w:val="single" w:sz="4" w:space="0" w:color="FFFFFF"/>
            </w:tcBorders>
            <w:shd w:val="clear" w:color="auto" w:fill="auto"/>
            <w:noWrap/>
            <w:vAlign w:val="center"/>
            <w:hideMark/>
          </w:tcPr>
          <w:p w14:paraId="4D557E3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10,053,920</w:t>
            </w:r>
          </w:p>
        </w:tc>
        <w:tc>
          <w:tcPr>
            <w:tcW w:w="613" w:type="pct"/>
            <w:tcBorders>
              <w:top w:val="nil"/>
              <w:left w:val="nil"/>
              <w:bottom w:val="single" w:sz="4" w:space="0" w:color="FFFFFF"/>
              <w:right w:val="single" w:sz="4" w:space="0" w:color="FFFFFF"/>
            </w:tcBorders>
            <w:shd w:val="clear" w:color="auto" w:fill="auto"/>
            <w:noWrap/>
            <w:vAlign w:val="center"/>
            <w:hideMark/>
          </w:tcPr>
          <w:p w14:paraId="63D76E66" w14:textId="37D47970" w:rsidR="007940B2" w:rsidRPr="0011239F" w:rsidRDefault="00624D1E"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10,914,883</w:t>
            </w:r>
          </w:p>
        </w:tc>
      </w:tr>
      <w:tr w:rsidR="007940B2" w:rsidRPr="0011239F" w14:paraId="78B42C13"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27C2AD58"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Personnel Services Expenses</w:t>
            </w:r>
          </w:p>
        </w:tc>
        <w:tc>
          <w:tcPr>
            <w:tcW w:w="616" w:type="pct"/>
            <w:tcBorders>
              <w:top w:val="nil"/>
              <w:left w:val="nil"/>
              <w:bottom w:val="single" w:sz="4" w:space="0" w:color="FFFFFF"/>
              <w:right w:val="single" w:sz="4" w:space="0" w:color="FFFFFF"/>
            </w:tcBorders>
            <w:shd w:val="clear" w:color="auto" w:fill="auto"/>
            <w:noWrap/>
            <w:vAlign w:val="center"/>
            <w:hideMark/>
          </w:tcPr>
          <w:p w14:paraId="7280C32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50CCE77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FD7E68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5989233"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330BBCFB"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Operating Expenses</w:t>
            </w:r>
          </w:p>
        </w:tc>
        <w:tc>
          <w:tcPr>
            <w:tcW w:w="616" w:type="pct"/>
            <w:tcBorders>
              <w:top w:val="nil"/>
              <w:left w:val="nil"/>
              <w:bottom w:val="single" w:sz="4" w:space="0" w:color="FFFFFF"/>
              <w:right w:val="single" w:sz="4" w:space="0" w:color="FFFFFF"/>
            </w:tcBorders>
            <w:shd w:val="clear" w:color="auto" w:fill="auto"/>
            <w:noWrap/>
            <w:vAlign w:val="center"/>
            <w:hideMark/>
          </w:tcPr>
          <w:p w14:paraId="645DA83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3,168,866</w:t>
            </w:r>
          </w:p>
        </w:tc>
        <w:tc>
          <w:tcPr>
            <w:tcW w:w="616" w:type="pct"/>
            <w:tcBorders>
              <w:top w:val="nil"/>
              <w:left w:val="nil"/>
              <w:bottom w:val="single" w:sz="4" w:space="0" w:color="FFFFFF"/>
              <w:right w:val="single" w:sz="4" w:space="0" w:color="FFFFFF"/>
            </w:tcBorders>
            <w:shd w:val="clear" w:color="auto" w:fill="auto"/>
            <w:noWrap/>
            <w:vAlign w:val="center"/>
            <w:hideMark/>
          </w:tcPr>
          <w:p w14:paraId="780A7D2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2,529,704</w:t>
            </w:r>
          </w:p>
        </w:tc>
        <w:tc>
          <w:tcPr>
            <w:tcW w:w="613" w:type="pct"/>
            <w:tcBorders>
              <w:top w:val="nil"/>
              <w:left w:val="nil"/>
              <w:bottom w:val="single" w:sz="4" w:space="0" w:color="FFFFFF"/>
              <w:right w:val="single" w:sz="4" w:space="0" w:color="FFFFFF"/>
            </w:tcBorders>
            <w:shd w:val="clear" w:color="auto" w:fill="auto"/>
            <w:noWrap/>
            <w:vAlign w:val="center"/>
            <w:hideMark/>
          </w:tcPr>
          <w:p w14:paraId="457005BA" w14:textId="6D43810C"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w:t>
            </w:r>
            <w:r w:rsidR="00624D1E" w:rsidRPr="0011239F">
              <w:rPr>
                <w:rFonts w:ascii="Arial" w:hAnsi="Arial" w:cs="Arial"/>
                <w:color w:val="000000"/>
                <w:sz w:val="18"/>
                <w:szCs w:val="18"/>
                <w:lang w:eastAsia="en-AU"/>
              </w:rPr>
              <w:t>500,624</w:t>
            </w:r>
          </w:p>
        </w:tc>
      </w:tr>
      <w:tr w:rsidR="007940B2" w:rsidRPr="0011239F" w14:paraId="5C016CC7"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92DA25D"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Grants and Subsidies</w:t>
            </w:r>
          </w:p>
        </w:tc>
        <w:tc>
          <w:tcPr>
            <w:tcW w:w="616" w:type="pct"/>
            <w:tcBorders>
              <w:top w:val="nil"/>
              <w:left w:val="nil"/>
              <w:bottom w:val="single" w:sz="4" w:space="0" w:color="FFFFFF"/>
              <w:right w:val="single" w:sz="4" w:space="0" w:color="FFFFFF"/>
            </w:tcBorders>
            <w:shd w:val="clear" w:color="auto" w:fill="auto"/>
            <w:noWrap/>
            <w:vAlign w:val="center"/>
            <w:hideMark/>
          </w:tcPr>
          <w:p w14:paraId="66BAC31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1,989,221</w:t>
            </w:r>
          </w:p>
        </w:tc>
        <w:tc>
          <w:tcPr>
            <w:tcW w:w="616" w:type="pct"/>
            <w:tcBorders>
              <w:top w:val="nil"/>
              <w:left w:val="nil"/>
              <w:bottom w:val="single" w:sz="4" w:space="0" w:color="FFFFFF"/>
              <w:right w:val="single" w:sz="4" w:space="0" w:color="FFFFFF"/>
            </w:tcBorders>
            <w:shd w:val="clear" w:color="auto" w:fill="auto"/>
            <w:noWrap/>
            <w:vAlign w:val="center"/>
            <w:hideMark/>
          </w:tcPr>
          <w:p w14:paraId="25DB4C8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1,962,870</w:t>
            </w:r>
          </w:p>
        </w:tc>
        <w:tc>
          <w:tcPr>
            <w:tcW w:w="613" w:type="pct"/>
            <w:tcBorders>
              <w:top w:val="nil"/>
              <w:left w:val="nil"/>
              <w:bottom w:val="single" w:sz="4" w:space="0" w:color="FFFFFF"/>
              <w:right w:val="single" w:sz="4" w:space="0" w:color="FFFFFF"/>
            </w:tcBorders>
            <w:shd w:val="clear" w:color="auto" w:fill="auto"/>
            <w:noWrap/>
            <w:vAlign w:val="center"/>
            <w:hideMark/>
          </w:tcPr>
          <w:p w14:paraId="6914BF72" w14:textId="51BA8E83" w:rsidR="007940B2" w:rsidRPr="0011239F" w:rsidRDefault="00624D1E"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3,999,658</w:t>
            </w:r>
          </w:p>
        </w:tc>
      </w:tr>
      <w:tr w:rsidR="007940B2" w:rsidRPr="0011239F" w14:paraId="09935C10"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3DB6EB8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Appropriation Expense</w:t>
            </w:r>
          </w:p>
        </w:tc>
        <w:tc>
          <w:tcPr>
            <w:tcW w:w="616" w:type="pct"/>
            <w:tcBorders>
              <w:top w:val="nil"/>
              <w:left w:val="nil"/>
              <w:bottom w:val="single" w:sz="4" w:space="0" w:color="FFFFFF"/>
              <w:right w:val="single" w:sz="4" w:space="0" w:color="FFFFFF"/>
            </w:tcBorders>
            <w:shd w:val="clear" w:color="auto" w:fill="auto"/>
            <w:noWrap/>
            <w:vAlign w:val="center"/>
            <w:hideMark/>
          </w:tcPr>
          <w:p w14:paraId="2D758C3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19086A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08A6D6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967A274"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53F974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Depreciation and Amortisation</w:t>
            </w:r>
          </w:p>
        </w:tc>
        <w:tc>
          <w:tcPr>
            <w:tcW w:w="616" w:type="pct"/>
            <w:tcBorders>
              <w:top w:val="nil"/>
              <w:left w:val="nil"/>
              <w:bottom w:val="single" w:sz="4" w:space="0" w:color="FFFFFF"/>
              <w:right w:val="single" w:sz="4" w:space="0" w:color="FFFFFF"/>
            </w:tcBorders>
            <w:shd w:val="clear" w:color="auto" w:fill="auto"/>
            <w:noWrap/>
            <w:vAlign w:val="center"/>
            <w:hideMark/>
          </w:tcPr>
          <w:p w14:paraId="239B1A8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657,704</w:t>
            </w:r>
          </w:p>
        </w:tc>
        <w:tc>
          <w:tcPr>
            <w:tcW w:w="616" w:type="pct"/>
            <w:tcBorders>
              <w:top w:val="nil"/>
              <w:left w:val="nil"/>
              <w:bottom w:val="single" w:sz="4" w:space="0" w:color="FFFFFF"/>
              <w:right w:val="single" w:sz="4" w:space="0" w:color="FFFFFF"/>
            </w:tcBorders>
            <w:shd w:val="clear" w:color="auto" w:fill="auto"/>
            <w:noWrap/>
            <w:vAlign w:val="center"/>
            <w:hideMark/>
          </w:tcPr>
          <w:p w14:paraId="10551BE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704,757</w:t>
            </w:r>
          </w:p>
        </w:tc>
        <w:tc>
          <w:tcPr>
            <w:tcW w:w="613" w:type="pct"/>
            <w:tcBorders>
              <w:top w:val="nil"/>
              <w:left w:val="nil"/>
              <w:bottom w:val="single" w:sz="4" w:space="0" w:color="FFFFFF"/>
              <w:right w:val="single" w:sz="4" w:space="0" w:color="FFFFFF"/>
            </w:tcBorders>
            <w:shd w:val="clear" w:color="auto" w:fill="auto"/>
            <w:noWrap/>
            <w:vAlign w:val="center"/>
            <w:hideMark/>
          </w:tcPr>
          <w:p w14:paraId="2C1B967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757,594</w:t>
            </w:r>
          </w:p>
        </w:tc>
      </w:tr>
      <w:tr w:rsidR="007940B2" w:rsidRPr="0011239F" w14:paraId="052365C2"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57D00C7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Finance Costs</w:t>
            </w:r>
          </w:p>
        </w:tc>
        <w:tc>
          <w:tcPr>
            <w:tcW w:w="616" w:type="pct"/>
            <w:tcBorders>
              <w:top w:val="nil"/>
              <w:left w:val="nil"/>
              <w:bottom w:val="single" w:sz="4" w:space="0" w:color="FFFFFF"/>
              <w:right w:val="single" w:sz="4" w:space="0" w:color="FFFFFF"/>
            </w:tcBorders>
            <w:shd w:val="clear" w:color="auto" w:fill="auto"/>
            <w:noWrap/>
            <w:vAlign w:val="center"/>
            <w:hideMark/>
          </w:tcPr>
          <w:p w14:paraId="637B004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19,823</w:t>
            </w:r>
          </w:p>
        </w:tc>
        <w:tc>
          <w:tcPr>
            <w:tcW w:w="616" w:type="pct"/>
            <w:tcBorders>
              <w:top w:val="nil"/>
              <w:left w:val="nil"/>
              <w:bottom w:val="single" w:sz="4" w:space="0" w:color="FFFFFF"/>
              <w:right w:val="single" w:sz="4" w:space="0" w:color="FFFFFF"/>
            </w:tcBorders>
            <w:shd w:val="clear" w:color="auto" w:fill="auto"/>
            <w:noWrap/>
            <w:vAlign w:val="center"/>
            <w:hideMark/>
          </w:tcPr>
          <w:p w14:paraId="00C695D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19,471</w:t>
            </w:r>
          </w:p>
        </w:tc>
        <w:tc>
          <w:tcPr>
            <w:tcW w:w="613" w:type="pct"/>
            <w:tcBorders>
              <w:top w:val="nil"/>
              <w:left w:val="nil"/>
              <w:bottom w:val="single" w:sz="4" w:space="0" w:color="FFFFFF"/>
              <w:right w:val="single" w:sz="4" w:space="0" w:color="FFFFFF"/>
            </w:tcBorders>
            <w:shd w:val="clear" w:color="auto" w:fill="auto"/>
            <w:noWrap/>
            <w:vAlign w:val="center"/>
            <w:hideMark/>
          </w:tcPr>
          <w:p w14:paraId="5D6EF7C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19,799</w:t>
            </w:r>
          </w:p>
        </w:tc>
      </w:tr>
      <w:tr w:rsidR="007940B2" w:rsidRPr="0011239F" w14:paraId="18E55F51" w14:textId="77777777" w:rsidTr="003C6E9F">
        <w:trPr>
          <w:trHeight w:val="225"/>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3A037CB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Expenses</w:t>
            </w:r>
          </w:p>
        </w:tc>
        <w:tc>
          <w:tcPr>
            <w:tcW w:w="616" w:type="pct"/>
            <w:tcBorders>
              <w:top w:val="nil"/>
              <w:left w:val="nil"/>
              <w:bottom w:val="single" w:sz="4" w:space="0" w:color="auto"/>
              <w:right w:val="single" w:sz="4" w:space="0" w:color="FFFFFF"/>
            </w:tcBorders>
            <w:shd w:val="clear" w:color="auto" w:fill="auto"/>
            <w:noWrap/>
            <w:vAlign w:val="center"/>
            <w:hideMark/>
          </w:tcPr>
          <w:p w14:paraId="32D4965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644</w:t>
            </w:r>
          </w:p>
        </w:tc>
        <w:tc>
          <w:tcPr>
            <w:tcW w:w="616" w:type="pct"/>
            <w:tcBorders>
              <w:top w:val="nil"/>
              <w:left w:val="nil"/>
              <w:bottom w:val="single" w:sz="4" w:space="0" w:color="auto"/>
              <w:right w:val="single" w:sz="4" w:space="0" w:color="FFFFFF"/>
            </w:tcBorders>
            <w:shd w:val="clear" w:color="auto" w:fill="auto"/>
            <w:noWrap/>
            <w:vAlign w:val="center"/>
            <w:hideMark/>
          </w:tcPr>
          <w:p w14:paraId="2098F00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auto"/>
              <w:right w:val="single" w:sz="4" w:space="0" w:color="FFFFFF"/>
            </w:tcBorders>
            <w:shd w:val="clear" w:color="auto" w:fill="auto"/>
            <w:noWrap/>
            <w:vAlign w:val="center"/>
            <w:hideMark/>
          </w:tcPr>
          <w:p w14:paraId="263D4DF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613</w:t>
            </w:r>
          </w:p>
        </w:tc>
      </w:tr>
      <w:tr w:rsidR="007940B2" w:rsidRPr="0011239F" w14:paraId="0108CA6D" w14:textId="77777777" w:rsidTr="00A11350">
        <w:trPr>
          <w:trHeight w:val="340"/>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328664B1"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EXPENSES EXCLUDING LOSSES</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68D1B1F7"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15,687,079</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4FA53E8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15,270,722</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115B9250" w14:textId="7CFA19D1"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18,</w:t>
            </w:r>
            <w:r w:rsidR="00624D1E" w:rsidRPr="0011239F">
              <w:rPr>
                <w:rFonts w:ascii="Arial" w:hAnsi="Arial" w:cs="Arial"/>
                <w:b/>
                <w:bCs/>
                <w:color w:val="25A9E1"/>
                <w:sz w:val="18"/>
                <w:szCs w:val="18"/>
                <w:lang w:eastAsia="en-AU"/>
              </w:rPr>
              <w:t>193,171</w:t>
            </w:r>
          </w:p>
        </w:tc>
      </w:tr>
      <w:tr w:rsidR="007940B2" w:rsidRPr="0011239F" w14:paraId="6BFEB032"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494A7663"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Revenue</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48AC960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200526C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auto"/>
              <w:left w:val="nil"/>
              <w:bottom w:val="single" w:sz="4" w:space="0" w:color="FFFFFF"/>
              <w:right w:val="single" w:sz="4" w:space="0" w:color="FFFFFF"/>
            </w:tcBorders>
            <w:shd w:val="clear" w:color="auto" w:fill="auto"/>
            <w:noWrap/>
            <w:vAlign w:val="center"/>
            <w:hideMark/>
          </w:tcPr>
          <w:p w14:paraId="00AC45C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49051947"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24BA6F7E"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Appropriation Revenue</w:t>
            </w:r>
          </w:p>
        </w:tc>
        <w:tc>
          <w:tcPr>
            <w:tcW w:w="616" w:type="pct"/>
            <w:tcBorders>
              <w:top w:val="nil"/>
              <w:left w:val="nil"/>
              <w:bottom w:val="single" w:sz="4" w:space="0" w:color="FFFFFF"/>
              <w:right w:val="single" w:sz="4" w:space="0" w:color="FFFFFF"/>
            </w:tcBorders>
            <w:shd w:val="clear" w:color="auto" w:fill="auto"/>
            <w:noWrap/>
            <w:vAlign w:val="center"/>
            <w:hideMark/>
          </w:tcPr>
          <w:p w14:paraId="1F54076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14,838,776</w:t>
            </w:r>
          </w:p>
        </w:tc>
        <w:tc>
          <w:tcPr>
            <w:tcW w:w="616" w:type="pct"/>
            <w:tcBorders>
              <w:top w:val="nil"/>
              <w:left w:val="nil"/>
              <w:bottom w:val="single" w:sz="4" w:space="0" w:color="FFFFFF"/>
              <w:right w:val="single" w:sz="4" w:space="0" w:color="FFFFFF"/>
            </w:tcBorders>
            <w:shd w:val="clear" w:color="auto" w:fill="auto"/>
            <w:noWrap/>
            <w:vAlign w:val="center"/>
            <w:hideMark/>
          </w:tcPr>
          <w:p w14:paraId="75AD7B1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14,686,601</w:t>
            </w:r>
          </w:p>
        </w:tc>
        <w:tc>
          <w:tcPr>
            <w:tcW w:w="613" w:type="pct"/>
            <w:tcBorders>
              <w:top w:val="nil"/>
              <w:left w:val="nil"/>
              <w:bottom w:val="single" w:sz="4" w:space="0" w:color="FFFFFF"/>
              <w:right w:val="single" w:sz="4" w:space="0" w:color="FFFFFF"/>
            </w:tcBorders>
            <w:shd w:val="clear" w:color="auto" w:fill="auto"/>
            <w:noWrap/>
            <w:vAlign w:val="center"/>
            <w:hideMark/>
          </w:tcPr>
          <w:p w14:paraId="1B5939A4" w14:textId="21BD6C2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18,</w:t>
            </w:r>
            <w:r w:rsidR="00624D1E" w:rsidRPr="0011239F">
              <w:rPr>
                <w:rFonts w:ascii="Arial" w:hAnsi="Arial" w:cs="Arial"/>
                <w:color w:val="000000"/>
                <w:sz w:val="18"/>
                <w:szCs w:val="18"/>
                <w:lang w:eastAsia="en-AU"/>
              </w:rPr>
              <w:t>085,890</w:t>
            </w:r>
          </w:p>
        </w:tc>
      </w:tr>
      <w:tr w:rsidR="007940B2" w:rsidRPr="0011239F" w14:paraId="4B61837A"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3A7845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Cluster Grant Revenue</w:t>
            </w:r>
          </w:p>
        </w:tc>
        <w:tc>
          <w:tcPr>
            <w:tcW w:w="616" w:type="pct"/>
            <w:tcBorders>
              <w:top w:val="nil"/>
              <w:left w:val="nil"/>
              <w:bottom w:val="single" w:sz="4" w:space="0" w:color="FFFFFF"/>
              <w:right w:val="single" w:sz="4" w:space="0" w:color="FFFFFF"/>
            </w:tcBorders>
            <w:shd w:val="clear" w:color="auto" w:fill="auto"/>
            <w:noWrap/>
            <w:vAlign w:val="center"/>
            <w:hideMark/>
          </w:tcPr>
          <w:p w14:paraId="2C8C1B3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5FD46F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097D20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A0670B1"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vAlign w:val="center"/>
            <w:hideMark/>
          </w:tcPr>
          <w:p w14:paraId="76FDC1D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Acceptance by Crown Entity of Employee Benefits and Other Liabilities</w:t>
            </w:r>
          </w:p>
        </w:tc>
        <w:tc>
          <w:tcPr>
            <w:tcW w:w="616" w:type="pct"/>
            <w:tcBorders>
              <w:top w:val="nil"/>
              <w:left w:val="nil"/>
              <w:bottom w:val="single" w:sz="4" w:space="0" w:color="FFFFFF"/>
              <w:right w:val="single" w:sz="4" w:space="0" w:color="FFFFFF"/>
            </w:tcBorders>
            <w:shd w:val="clear" w:color="auto" w:fill="auto"/>
            <w:noWrap/>
            <w:vAlign w:val="center"/>
            <w:hideMark/>
          </w:tcPr>
          <w:p w14:paraId="00029C9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385,558</w:t>
            </w:r>
          </w:p>
        </w:tc>
        <w:tc>
          <w:tcPr>
            <w:tcW w:w="616" w:type="pct"/>
            <w:tcBorders>
              <w:top w:val="nil"/>
              <w:left w:val="nil"/>
              <w:bottom w:val="single" w:sz="4" w:space="0" w:color="FFFFFF"/>
              <w:right w:val="single" w:sz="4" w:space="0" w:color="FFFFFF"/>
            </w:tcBorders>
            <w:shd w:val="clear" w:color="auto" w:fill="auto"/>
            <w:noWrap/>
            <w:vAlign w:val="center"/>
            <w:hideMark/>
          </w:tcPr>
          <w:p w14:paraId="7F3D2E8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375,072</w:t>
            </w:r>
          </w:p>
        </w:tc>
        <w:tc>
          <w:tcPr>
            <w:tcW w:w="613" w:type="pct"/>
            <w:tcBorders>
              <w:top w:val="nil"/>
              <w:left w:val="nil"/>
              <w:bottom w:val="single" w:sz="4" w:space="0" w:color="FFFFFF"/>
              <w:right w:val="single" w:sz="4" w:space="0" w:color="FFFFFF"/>
            </w:tcBorders>
            <w:shd w:val="clear" w:color="auto" w:fill="auto"/>
            <w:noWrap/>
            <w:vAlign w:val="center"/>
            <w:hideMark/>
          </w:tcPr>
          <w:p w14:paraId="692EF8A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349,752</w:t>
            </w:r>
          </w:p>
        </w:tc>
      </w:tr>
      <w:tr w:rsidR="007940B2" w:rsidRPr="0011239F" w14:paraId="40C01D2E"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41E157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Transfers to the Crown Entity</w:t>
            </w:r>
          </w:p>
        </w:tc>
        <w:tc>
          <w:tcPr>
            <w:tcW w:w="616" w:type="pct"/>
            <w:tcBorders>
              <w:top w:val="nil"/>
              <w:left w:val="nil"/>
              <w:bottom w:val="single" w:sz="4" w:space="0" w:color="FFFFFF"/>
              <w:right w:val="single" w:sz="4" w:space="0" w:color="FFFFFF"/>
            </w:tcBorders>
            <w:shd w:val="clear" w:color="auto" w:fill="auto"/>
            <w:noWrap/>
            <w:vAlign w:val="center"/>
            <w:hideMark/>
          </w:tcPr>
          <w:p w14:paraId="412A1D9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07BD2B7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F38CA9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E93D04D"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252C34F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Sales of Goods and Services</w:t>
            </w:r>
          </w:p>
        </w:tc>
        <w:tc>
          <w:tcPr>
            <w:tcW w:w="616" w:type="pct"/>
            <w:tcBorders>
              <w:top w:val="nil"/>
              <w:left w:val="nil"/>
              <w:bottom w:val="single" w:sz="4" w:space="0" w:color="FFFFFF"/>
              <w:right w:val="single" w:sz="4" w:space="0" w:color="FFFFFF"/>
            </w:tcBorders>
            <w:shd w:val="clear" w:color="auto" w:fill="auto"/>
            <w:noWrap/>
            <w:vAlign w:val="center"/>
            <w:hideMark/>
          </w:tcPr>
          <w:p w14:paraId="2BF8DDF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529,361</w:t>
            </w:r>
          </w:p>
        </w:tc>
        <w:tc>
          <w:tcPr>
            <w:tcW w:w="616" w:type="pct"/>
            <w:tcBorders>
              <w:top w:val="nil"/>
              <w:left w:val="nil"/>
              <w:bottom w:val="single" w:sz="4" w:space="0" w:color="FFFFFF"/>
              <w:right w:val="single" w:sz="4" w:space="0" w:color="FFFFFF"/>
            </w:tcBorders>
            <w:shd w:val="clear" w:color="auto" w:fill="auto"/>
            <w:noWrap/>
            <w:vAlign w:val="center"/>
            <w:hideMark/>
          </w:tcPr>
          <w:p w14:paraId="05683EB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465,370</w:t>
            </w:r>
          </w:p>
        </w:tc>
        <w:tc>
          <w:tcPr>
            <w:tcW w:w="613" w:type="pct"/>
            <w:tcBorders>
              <w:top w:val="nil"/>
              <w:left w:val="nil"/>
              <w:bottom w:val="single" w:sz="4" w:space="0" w:color="FFFFFF"/>
              <w:right w:val="single" w:sz="4" w:space="0" w:color="FFFFFF"/>
            </w:tcBorders>
            <w:shd w:val="clear" w:color="auto" w:fill="auto"/>
            <w:noWrap/>
            <w:vAlign w:val="center"/>
            <w:hideMark/>
          </w:tcPr>
          <w:p w14:paraId="0B3A1712" w14:textId="0E70F76C" w:rsidR="007940B2" w:rsidRPr="0011239F" w:rsidRDefault="003223AF"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675,079</w:t>
            </w:r>
          </w:p>
        </w:tc>
      </w:tr>
      <w:tr w:rsidR="007940B2" w:rsidRPr="0011239F" w14:paraId="0419E6A0"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7AAEDBF"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Grants and Contributions</w:t>
            </w:r>
          </w:p>
        </w:tc>
        <w:tc>
          <w:tcPr>
            <w:tcW w:w="616" w:type="pct"/>
            <w:tcBorders>
              <w:top w:val="nil"/>
              <w:left w:val="nil"/>
              <w:bottom w:val="single" w:sz="4" w:space="0" w:color="FFFFFF"/>
              <w:right w:val="single" w:sz="4" w:space="0" w:color="FFFFFF"/>
            </w:tcBorders>
            <w:shd w:val="clear" w:color="auto" w:fill="auto"/>
            <w:noWrap/>
            <w:vAlign w:val="center"/>
            <w:hideMark/>
          </w:tcPr>
          <w:p w14:paraId="136F6EB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379,778</w:t>
            </w:r>
          </w:p>
        </w:tc>
        <w:tc>
          <w:tcPr>
            <w:tcW w:w="616" w:type="pct"/>
            <w:tcBorders>
              <w:top w:val="nil"/>
              <w:left w:val="nil"/>
              <w:bottom w:val="single" w:sz="4" w:space="0" w:color="FFFFFF"/>
              <w:right w:val="single" w:sz="4" w:space="0" w:color="FFFFFF"/>
            </w:tcBorders>
            <w:shd w:val="clear" w:color="auto" w:fill="auto"/>
            <w:noWrap/>
            <w:vAlign w:val="center"/>
            <w:hideMark/>
          </w:tcPr>
          <w:p w14:paraId="34F70A0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437,104</w:t>
            </w:r>
          </w:p>
        </w:tc>
        <w:tc>
          <w:tcPr>
            <w:tcW w:w="613" w:type="pct"/>
            <w:tcBorders>
              <w:top w:val="nil"/>
              <w:left w:val="nil"/>
              <w:bottom w:val="single" w:sz="4" w:space="0" w:color="FFFFFF"/>
              <w:right w:val="single" w:sz="4" w:space="0" w:color="FFFFFF"/>
            </w:tcBorders>
            <w:shd w:val="clear" w:color="auto" w:fill="auto"/>
            <w:noWrap/>
            <w:vAlign w:val="center"/>
            <w:hideMark/>
          </w:tcPr>
          <w:p w14:paraId="04491E3E" w14:textId="1ED0A3A2"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353,</w:t>
            </w:r>
            <w:r w:rsidR="003223AF" w:rsidRPr="0011239F">
              <w:rPr>
                <w:rFonts w:ascii="Arial" w:hAnsi="Arial" w:cs="Arial"/>
                <w:color w:val="000000"/>
                <w:sz w:val="18"/>
                <w:szCs w:val="18"/>
                <w:lang w:eastAsia="en-AU"/>
              </w:rPr>
              <w:t>435</w:t>
            </w:r>
          </w:p>
        </w:tc>
      </w:tr>
      <w:tr w:rsidR="007940B2" w:rsidRPr="0011239F" w14:paraId="0ABF2EBC"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0B1412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Investment Revenue</w:t>
            </w:r>
          </w:p>
        </w:tc>
        <w:tc>
          <w:tcPr>
            <w:tcW w:w="616" w:type="pct"/>
            <w:tcBorders>
              <w:top w:val="nil"/>
              <w:left w:val="nil"/>
              <w:bottom w:val="single" w:sz="4" w:space="0" w:color="FFFFFF"/>
              <w:right w:val="single" w:sz="4" w:space="0" w:color="FFFFFF"/>
            </w:tcBorders>
            <w:shd w:val="clear" w:color="auto" w:fill="auto"/>
            <w:noWrap/>
            <w:vAlign w:val="center"/>
            <w:hideMark/>
          </w:tcPr>
          <w:p w14:paraId="5B1D0B0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11,337</w:t>
            </w:r>
          </w:p>
        </w:tc>
        <w:tc>
          <w:tcPr>
            <w:tcW w:w="616" w:type="pct"/>
            <w:tcBorders>
              <w:top w:val="nil"/>
              <w:left w:val="nil"/>
              <w:bottom w:val="single" w:sz="4" w:space="0" w:color="FFFFFF"/>
              <w:right w:val="single" w:sz="4" w:space="0" w:color="FFFFFF"/>
            </w:tcBorders>
            <w:shd w:val="clear" w:color="auto" w:fill="auto"/>
            <w:noWrap/>
            <w:vAlign w:val="center"/>
            <w:hideMark/>
          </w:tcPr>
          <w:p w14:paraId="043DA6B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12,337</w:t>
            </w:r>
          </w:p>
        </w:tc>
        <w:tc>
          <w:tcPr>
            <w:tcW w:w="613" w:type="pct"/>
            <w:tcBorders>
              <w:top w:val="nil"/>
              <w:left w:val="nil"/>
              <w:bottom w:val="single" w:sz="4" w:space="0" w:color="FFFFFF"/>
              <w:right w:val="single" w:sz="4" w:space="0" w:color="FFFFFF"/>
            </w:tcBorders>
            <w:shd w:val="clear" w:color="auto" w:fill="auto"/>
            <w:noWrap/>
            <w:vAlign w:val="center"/>
            <w:hideMark/>
          </w:tcPr>
          <w:p w14:paraId="4C30E49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17,830</w:t>
            </w:r>
          </w:p>
        </w:tc>
      </w:tr>
      <w:tr w:rsidR="007940B2" w:rsidRPr="0011239F" w14:paraId="5AB8B9DE"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37091A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Retained Taxes, Fees and Fines</w:t>
            </w:r>
          </w:p>
        </w:tc>
        <w:tc>
          <w:tcPr>
            <w:tcW w:w="616" w:type="pct"/>
            <w:tcBorders>
              <w:top w:val="nil"/>
              <w:left w:val="nil"/>
              <w:bottom w:val="single" w:sz="4" w:space="0" w:color="FFFFFF"/>
              <w:right w:val="single" w:sz="4" w:space="0" w:color="FFFFFF"/>
            </w:tcBorders>
            <w:shd w:val="clear" w:color="auto" w:fill="auto"/>
            <w:noWrap/>
            <w:vAlign w:val="center"/>
            <w:hideMark/>
          </w:tcPr>
          <w:p w14:paraId="709085B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7366935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412F9D7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7A7252F" w14:textId="77777777" w:rsidTr="003C6E9F">
        <w:trPr>
          <w:trHeight w:val="225"/>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7BBF591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Revenue</w:t>
            </w:r>
          </w:p>
        </w:tc>
        <w:tc>
          <w:tcPr>
            <w:tcW w:w="616" w:type="pct"/>
            <w:tcBorders>
              <w:top w:val="nil"/>
              <w:left w:val="nil"/>
              <w:bottom w:val="single" w:sz="4" w:space="0" w:color="auto"/>
              <w:right w:val="single" w:sz="4" w:space="0" w:color="FFFFFF"/>
            </w:tcBorders>
            <w:shd w:val="clear" w:color="auto" w:fill="auto"/>
            <w:noWrap/>
            <w:vAlign w:val="center"/>
            <w:hideMark/>
          </w:tcPr>
          <w:p w14:paraId="76CA4A6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83,209</w:t>
            </w:r>
          </w:p>
        </w:tc>
        <w:tc>
          <w:tcPr>
            <w:tcW w:w="616" w:type="pct"/>
            <w:tcBorders>
              <w:top w:val="nil"/>
              <w:left w:val="nil"/>
              <w:bottom w:val="single" w:sz="4" w:space="0" w:color="auto"/>
              <w:right w:val="single" w:sz="4" w:space="0" w:color="FFFFFF"/>
            </w:tcBorders>
            <w:shd w:val="clear" w:color="auto" w:fill="auto"/>
            <w:noWrap/>
            <w:vAlign w:val="center"/>
            <w:hideMark/>
          </w:tcPr>
          <w:p w14:paraId="499468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94,923</w:t>
            </w:r>
          </w:p>
        </w:tc>
        <w:tc>
          <w:tcPr>
            <w:tcW w:w="613" w:type="pct"/>
            <w:tcBorders>
              <w:top w:val="nil"/>
              <w:left w:val="nil"/>
              <w:bottom w:val="single" w:sz="4" w:space="0" w:color="auto"/>
              <w:right w:val="single" w:sz="4" w:space="0" w:color="FFFFFF"/>
            </w:tcBorders>
            <w:shd w:val="clear" w:color="auto" w:fill="auto"/>
            <w:noWrap/>
            <w:vAlign w:val="center"/>
            <w:hideMark/>
          </w:tcPr>
          <w:p w14:paraId="5D88E43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81,261</w:t>
            </w:r>
          </w:p>
        </w:tc>
      </w:tr>
      <w:tr w:rsidR="007940B2" w:rsidRPr="0011239F" w14:paraId="04C4A573" w14:textId="77777777" w:rsidTr="00A11350">
        <w:trPr>
          <w:trHeight w:val="340"/>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124A5FCF"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Revenue</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4A4A329C"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16,228,019</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1B845D2C"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16,071,407</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3FF713F0" w14:textId="7AEAC624"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19,5</w:t>
            </w:r>
            <w:r w:rsidR="00624D1E" w:rsidRPr="0011239F">
              <w:rPr>
                <w:rFonts w:ascii="Arial" w:hAnsi="Arial" w:cs="Arial"/>
                <w:b/>
                <w:bCs/>
                <w:color w:val="25A9E1"/>
                <w:sz w:val="18"/>
                <w:szCs w:val="18"/>
                <w:lang w:eastAsia="en-AU"/>
              </w:rPr>
              <w:t>63,246</w:t>
            </w:r>
          </w:p>
        </w:tc>
      </w:tr>
      <w:tr w:rsidR="007940B2" w:rsidRPr="0011239F" w14:paraId="7750A6C2"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070BD64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Gain/(loss) on Disposal of </w:t>
            </w:r>
            <w:proofErr w:type="spellStart"/>
            <w:proofErr w:type="gramStart"/>
            <w:r w:rsidRPr="0011239F">
              <w:rPr>
                <w:rFonts w:ascii="Arial" w:hAnsi="Arial" w:cs="Arial"/>
                <w:color w:val="000000"/>
                <w:sz w:val="18"/>
                <w:szCs w:val="18"/>
                <w:lang w:eastAsia="en-AU"/>
              </w:rPr>
              <w:t>Non Current</w:t>
            </w:r>
            <w:proofErr w:type="spellEnd"/>
            <w:proofErr w:type="gramEnd"/>
            <w:r w:rsidRPr="0011239F">
              <w:rPr>
                <w:rFonts w:ascii="Arial" w:hAnsi="Arial" w:cs="Arial"/>
                <w:color w:val="000000"/>
                <w:sz w:val="18"/>
                <w:szCs w:val="18"/>
                <w:lang w:eastAsia="en-AU"/>
              </w:rPr>
              <w:t xml:space="preserve"> Assets</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6C28A07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6DA1997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(16,220)</w:t>
            </w:r>
          </w:p>
        </w:tc>
        <w:tc>
          <w:tcPr>
            <w:tcW w:w="613" w:type="pct"/>
            <w:tcBorders>
              <w:top w:val="single" w:sz="4" w:space="0" w:color="auto"/>
              <w:left w:val="nil"/>
              <w:bottom w:val="single" w:sz="4" w:space="0" w:color="FFFFFF"/>
              <w:right w:val="single" w:sz="4" w:space="0" w:color="FFFFFF"/>
            </w:tcBorders>
            <w:shd w:val="clear" w:color="auto" w:fill="auto"/>
            <w:noWrap/>
            <w:vAlign w:val="center"/>
            <w:hideMark/>
          </w:tcPr>
          <w:p w14:paraId="6B88B9E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805058E" w14:textId="77777777" w:rsidTr="003C6E9F">
        <w:trPr>
          <w:trHeight w:val="225"/>
        </w:trPr>
        <w:tc>
          <w:tcPr>
            <w:tcW w:w="3155" w:type="pct"/>
            <w:tcBorders>
              <w:top w:val="nil"/>
              <w:left w:val="single" w:sz="4" w:space="0" w:color="FFFFFF"/>
              <w:bottom w:val="nil"/>
              <w:right w:val="single" w:sz="4" w:space="0" w:color="FFFFFF"/>
            </w:tcBorders>
            <w:shd w:val="clear" w:color="auto" w:fill="auto"/>
            <w:noWrap/>
            <w:vAlign w:val="center"/>
            <w:hideMark/>
          </w:tcPr>
          <w:p w14:paraId="6C1A6A9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Gains/(Losses)</w:t>
            </w:r>
          </w:p>
        </w:tc>
        <w:tc>
          <w:tcPr>
            <w:tcW w:w="616" w:type="pct"/>
            <w:tcBorders>
              <w:top w:val="nil"/>
              <w:left w:val="nil"/>
              <w:bottom w:val="nil"/>
              <w:right w:val="single" w:sz="4" w:space="0" w:color="FFFFFF"/>
            </w:tcBorders>
            <w:shd w:val="clear" w:color="auto" w:fill="auto"/>
            <w:noWrap/>
            <w:vAlign w:val="center"/>
            <w:hideMark/>
          </w:tcPr>
          <w:p w14:paraId="4C7733E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nil"/>
              <w:right w:val="single" w:sz="4" w:space="0" w:color="FFFFFF"/>
            </w:tcBorders>
            <w:shd w:val="clear" w:color="auto" w:fill="auto"/>
            <w:noWrap/>
            <w:vAlign w:val="center"/>
            <w:hideMark/>
          </w:tcPr>
          <w:p w14:paraId="140E650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(391)</w:t>
            </w:r>
          </w:p>
        </w:tc>
        <w:tc>
          <w:tcPr>
            <w:tcW w:w="613" w:type="pct"/>
            <w:tcBorders>
              <w:top w:val="nil"/>
              <w:left w:val="nil"/>
              <w:bottom w:val="nil"/>
              <w:right w:val="single" w:sz="4" w:space="0" w:color="FFFFFF"/>
            </w:tcBorders>
            <w:shd w:val="clear" w:color="auto" w:fill="auto"/>
            <w:noWrap/>
            <w:vAlign w:val="center"/>
            <w:hideMark/>
          </w:tcPr>
          <w:p w14:paraId="0745B38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922DB1C" w14:textId="77777777" w:rsidTr="00A11350">
        <w:trPr>
          <w:trHeight w:val="340"/>
        </w:trPr>
        <w:tc>
          <w:tcPr>
            <w:tcW w:w="315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3B2E551"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Net Result</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511407E7"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540,940</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087FFA9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784,074</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30BD4C3F"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1,370,075</w:t>
            </w:r>
          </w:p>
        </w:tc>
      </w:tr>
    </w:tbl>
    <w:p w14:paraId="793CB349" w14:textId="77777777" w:rsidR="007940B2" w:rsidRPr="0011239F" w:rsidRDefault="007940B2" w:rsidP="00653655">
      <w:pPr>
        <w:pStyle w:val="ListParagraph"/>
        <w:spacing w:before="360"/>
        <w:ind w:left="405"/>
        <w:rPr>
          <w:rFonts w:cs="Arial"/>
        </w:rPr>
      </w:pPr>
    </w:p>
    <w:p w14:paraId="28B6E9DD" w14:textId="77777777" w:rsidR="007940B2" w:rsidRPr="0011239F" w:rsidRDefault="007940B2" w:rsidP="007940B2">
      <w:pPr>
        <w:pStyle w:val="ListParagraph"/>
        <w:numPr>
          <w:ilvl w:val="0"/>
          <w:numId w:val="12"/>
        </w:numPr>
        <w:rPr>
          <w:rFonts w:cs="Arial"/>
        </w:rPr>
      </w:pPr>
      <w:r w:rsidRPr="0011239F">
        <w:rPr>
          <w:rFonts w:cs="Arial"/>
        </w:rPr>
        <w:br w:type="page"/>
      </w:r>
    </w:p>
    <w:p w14:paraId="0C367DF5" w14:textId="77777777" w:rsidR="007940B2" w:rsidRPr="0011239F" w:rsidRDefault="007940B2" w:rsidP="005920E4">
      <w:pPr>
        <w:pStyle w:val="Heading4"/>
        <w:spacing w:before="0"/>
        <w:rPr>
          <w:rFonts w:cs="Arial"/>
          <w:lang w:eastAsia="en-AU"/>
        </w:rPr>
      </w:pPr>
      <w:r w:rsidRPr="0011239F">
        <w:rPr>
          <w:rFonts w:cs="Arial"/>
          <w:lang w:eastAsia="en-AU"/>
        </w:rPr>
        <w:lastRenderedPageBreak/>
        <w:t>Balance Sheet</w:t>
      </w:r>
    </w:p>
    <w:tbl>
      <w:tblPr>
        <w:tblW w:w="5012" w:type="pct"/>
        <w:tblLook w:val="04A0" w:firstRow="1" w:lastRow="0" w:firstColumn="1" w:lastColumn="0" w:noHBand="0" w:noVBand="1"/>
        <w:tblCaption w:val="Department of Education"/>
        <w:tblDescription w:val="Department of Education - Balance Sheet"/>
      </w:tblPr>
      <w:tblGrid>
        <w:gridCol w:w="6067"/>
        <w:gridCol w:w="35"/>
        <w:gridCol w:w="1159"/>
        <w:gridCol w:w="29"/>
        <w:gridCol w:w="1165"/>
        <w:gridCol w:w="25"/>
        <w:gridCol w:w="1163"/>
        <w:gridCol w:w="19"/>
      </w:tblGrid>
      <w:tr w:rsidR="003C6E9F" w:rsidRPr="0011239F" w14:paraId="1D04178B" w14:textId="77777777" w:rsidTr="002B6A79">
        <w:trPr>
          <w:trHeight w:val="283"/>
        </w:trPr>
        <w:tc>
          <w:tcPr>
            <w:tcW w:w="3157" w:type="pct"/>
            <w:gridSpan w:val="2"/>
            <w:shd w:val="clear" w:color="auto" w:fill="00ABE6"/>
            <w:vAlign w:val="center"/>
            <w:hideMark/>
          </w:tcPr>
          <w:p w14:paraId="48222BB6"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31" w:type="pct"/>
            <w:gridSpan w:val="4"/>
            <w:shd w:val="clear" w:color="auto" w:fill="00ABE6"/>
            <w:vAlign w:val="bottom"/>
            <w:hideMark/>
          </w:tcPr>
          <w:p w14:paraId="61F3CBC4"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3" w:type="pct"/>
            <w:gridSpan w:val="2"/>
            <w:shd w:val="clear" w:color="auto" w:fill="00ABE6"/>
            <w:vAlign w:val="bottom"/>
            <w:hideMark/>
          </w:tcPr>
          <w:p w14:paraId="60DD188F"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75D4F45A" w14:textId="77777777" w:rsidTr="002B6A79">
        <w:trPr>
          <w:trHeight w:val="255"/>
        </w:trPr>
        <w:tc>
          <w:tcPr>
            <w:tcW w:w="3157" w:type="pct"/>
            <w:gridSpan w:val="2"/>
            <w:shd w:val="clear" w:color="auto" w:fill="00ABE6"/>
            <w:vAlign w:val="center"/>
            <w:hideMark/>
          </w:tcPr>
          <w:p w14:paraId="4107F10F"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gridSpan w:val="2"/>
            <w:shd w:val="clear" w:color="auto" w:fill="00ABE6"/>
            <w:vAlign w:val="center"/>
            <w:hideMark/>
          </w:tcPr>
          <w:p w14:paraId="68B7A3D0"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6" w:type="pct"/>
            <w:gridSpan w:val="2"/>
            <w:shd w:val="clear" w:color="auto" w:fill="00ABE6"/>
            <w:vAlign w:val="center"/>
            <w:hideMark/>
          </w:tcPr>
          <w:p w14:paraId="68145AD2"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3" w:type="pct"/>
            <w:gridSpan w:val="2"/>
            <w:shd w:val="clear" w:color="auto" w:fill="00ABE6"/>
            <w:vAlign w:val="center"/>
            <w:hideMark/>
          </w:tcPr>
          <w:p w14:paraId="6FED1895"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69865134" w14:textId="77777777" w:rsidTr="002B6A79">
        <w:trPr>
          <w:trHeight w:val="238"/>
        </w:trPr>
        <w:tc>
          <w:tcPr>
            <w:tcW w:w="3157" w:type="pct"/>
            <w:gridSpan w:val="2"/>
            <w:shd w:val="clear" w:color="auto" w:fill="0A7CB9"/>
            <w:vAlign w:val="center"/>
            <w:hideMark/>
          </w:tcPr>
          <w:p w14:paraId="05AF1404"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gridSpan w:val="2"/>
            <w:shd w:val="clear" w:color="auto" w:fill="0A7CB9"/>
            <w:hideMark/>
          </w:tcPr>
          <w:p w14:paraId="289F7F8C"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6" w:type="pct"/>
            <w:gridSpan w:val="2"/>
            <w:shd w:val="clear" w:color="auto" w:fill="0A7CB9"/>
            <w:hideMark/>
          </w:tcPr>
          <w:p w14:paraId="09ECEA24"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3" w:type="pct"/>
            <w:gridSpan w:val="2"/>
            <w:shd w:val="clear" w:color="auto" w:fill="0A7CB9"/>
            <w:hideMark/>
          </w:tcPr>
          <w:p w14:paraId="60DF171B"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19ECDCE8" w14:textId="77777777" w:rsidTr="002B6A79">
        <w:trPr>
          <w:gridAfter w:val="1"/>
          <w:wAfter w:w="11" w:type="pct"/>
          <w:trHeight w:val="225"/>
        </w:trPr>
        <w:tc>
          <w:tcPr>
            <w:tcW w:w="313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5EA9ED"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Assets</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36A9BDFE"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28EA8B66"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5"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48F27E87"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8C59EB5"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2EE37E48" w14:textId="77777777" w:rsidR="007940B2" w:rsidRPr="0011239F" w:rsidRDefault="007940B2" w:rsidP="007940B2">
            <w:pPr>
              <w:rPr>
                <w:rFonts w:ascii="Arial" w:hAnsi="Arial" w:cs="Arial"/>
                <w:b/>
                <w:bCs/>
                <w:sz w:val="18"/>
                <w:szCs w:val="18"/>
                <w:lang w:eastAsia="en-AU"/>
              </w:rPr>
            </w:pPr>
            <w:r w:rsidRPr="0011239F">
              <w:rPr>
                <w:rFonts w:ascii="Arial" w:hAnsi="Arial" w:cs="Arial"/>
                <w:b/>
                <w:bCs/>
                <w:sz w:val="18"/>
                <w:szCs w:val="18"/>
                <w:lang w:eastAsia="en-AU"/>
              </w:rPr>
              <w:t>Current Assets</w:t>
            </w:r>
          </w:p>
        </w:tc>
        <w:tc>
          <w:tcPr>
            <w:tcW w:w="618" w:type="pct"/>
            <w:gridSpan w:val="2"/>
            <w:tcBorders>
              <w:top w:val="nil"/>
              <w:left w:val="nil"/>
              <w:bottom w:val="single" w:sz="4" w:space="0" w:color="FFFFFF"/>
              <w:right w:val="single" w:sz="4" w:space="0" w:color="FFFFFF"/>
            </w:tcBorders>
            <w:shd w:val="clear" w:color="auto" w:fill="auto"/>
            <w:noWrap/>
            <w:vAlign w:val="bottom"/>
            <w:hideMark/>
          </w:tcPr>
          <w:p w14:paraId="68706D5D"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bottom"/>
            <w:hideMark/>
          </w:tcPr>
          <w:p w14:paraId="3C20877D"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c>
          <w:tcPr>
            <w:tcW w:w="615" w:type="pct"/>
            <w:gridSpan w:val="2"/>
            <w:tcBorders>
              <w:top w:val="nil"/>
              <w:left w:val="nil"/>
              <w:bottom w:val="single" w:sz="4" w:space="0" w:color="FFFFFF"/>
              <w:right w:val="single" w:sz="4" w:space="0" w:color="FFFFFF"/>
            </w:tcBorders>
            <w:shd w:val="clear" w:color="auto" w:fill="auto"/>
            <w:noWrap/>
            <w:vAlign w:val="bottom"/>
            <w:hideMark/>
          </w:tcPr>
          <w:p w14:paraId="46FAA62B"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r>
      <w:tr w:rsidR="007940B2" w:rsidRPr="0011239F" w14:paraId="676E6496"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70664C7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Cash Assets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F911CD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767,445</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D0D592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754,976</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2422D5B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892,710</w:t>
            </w:r>
          </w:p>
        </w:tc>
      </w:tr>
      <w:tr w:rsidR="007940B2" w:rsidRPr="0011239F" w14:paraId="11844197"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1115BFC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Receivable</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A6B4E1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19EF06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5978FCB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1C7FEFC"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19D5056A"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Receivables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C3D78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166,378</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D53A44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219,291</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CD3509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254,710</w:t>
            </w:r>
          </w:p>
        </w:tc>
      </w:tr>
      <w:tr w:rsidR="007940B2" w:rsidRPr="0011239F" w14:paraId="0FE3B298"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108DD7A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Inventories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C95D2F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ACA3BC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B63D4B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F1DBD61"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2D47235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Financial Assets at Fair Value</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D23D4A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2A2549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28945F6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2B6A79" w:rsidRPr="0011239F" w14:paraId="3038D551"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12F7087C" w14:textId="77777777" w:rsidR="002B6A79" w:rsidRPr="0011239F" w:rsidRDefault="002B6A79" w:rsidP="002B6A79">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Assets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A0D3326" w14:textId="45223693" w:rsidR="002B6A79" w:rsidRPr="0011239F" w:rsidRDefault="002B6A79" w:rsidP="002B6A79">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76FF1D3" w14:textId="4C946C22" w:rsidR="002B6A79" w:rsidRPr="0011239F" w:rsidRDefault="002B6A79" w:rsidP="002B6A79">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7C9D0E41" w14:textId="7505402C" w:rsidR="002B6A79" w:rsidRPr="0011239F" w:rsidRDefault="002B6A79" w:rsidP="002B6A79">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5319AFD"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0F5C481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2464EA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E4454A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5E6F76E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A90EF8F" w14:textId="77777777" w:rsidTr="002B6A79">
        <w:trPr>
          <w:gridAfter w:val="1"/>
          <w:wAfter w:w="11" w:type="pct"/>
          <w:trHeight w:val="225"/>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0B13CDA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Assets Held </w:t>
            </w:r>
            <w:proofErr w:type="gramStart"/>
            <w:r w:rsidRPr="0011239F">
              <w:rPr>
                <w:rFonts w:ascii="Arial" w:hAnsi="Arial" w:cs="Arial"/>
                <w:color w:val="000000"/>
                <w:sz w:val="18"/>
                <w:szCs w:val="18"/>
                <w:lang w:eastAsia="en-AU"/>
              </w:rPr>
              <w:t>For</w:t>
            </w:r>
            <w:proofErr w:type="gramEnd"/>
            <w:r w:rsidRPr="0011239F">
              <w:rPr>
                <w:rFonts w:ascii="Arial" w:hAnsi="Arial" w:cs="Arial"/>
                <w:color w:val="000000"/>
                <w:sz w:val="18"/>
                <w:szCs w:val="18"/>
                <w:lang w:eastAsia="en-AU"/>
              </w:rPr>
              <w:t xml:space="preserve"> Sale</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11C54F5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5980B37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250</w:t>
            </w:r>
          </w:p>
        </w:tc>
        <w:tc>
          <w:tcPr>
            <w:tcW w:w="615" w:type="pct"/>
            <w:gridSpan w:val="2"/>
            <w:tcBorders>
              <w:top w:val="nil"/>
              <w:left w:val="nil"/>
              <w:bottom w:val="single" w:sz="4" w:space="0" w:color="auto"/>
              <w:right w:val="single" w:sz="4" w:space="0" w:color="FFFFFF"/>
            </w:tcBorders>
            <w:shd w:val="clear" w:color="auto" w:fill="auto"/>
            <w:noWrap/>
            <w:vAlign w:val="center"/>
            <w:hideMark/>
          </w:tcPr>
          <w:p w14:paraId="39728CD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250</w:t>
            </w:r>
          </w:p>
        </w:tc>
      </w:tr>
      <w:tr w:rsidR="007940B2" w:rsidRPr="0011239F" w14:paraId="0CD1FAF5" w14:textId="77777777" w:rsidTr="002B6A79">
        <w:trPr>
          <w:gridAfter w:val="1"/>
          <w:wAfter w:w="11" w:type="pct"/>
          <w:trHeight w:val="340"/>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254345A6"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Current Assets</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20D3BF2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933,822</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765930CD"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974,517</w:t>
            </w:r>
          </w:p>
        </w:tc>
        <w:tc>
          <w:tcPr>
            <w:tcW w:w="615"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56B22F6B"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1,147,670</w:t>
            </w:r>
          </w:p>
        </w:tc>
      </w:tr>
      <w:tr w:rsidR="007940B2" w:rsidRPr="0011239F" w14:paraId="5E21ABB5"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6E954FBC" w14:textId="77777777" w:rsidR="007940B2" w:rsidRPr="0011239F" w:rsidRDefault="007940B2" w:rsidP="003C6E9F">
            <w:pPr>
              <w:rPr>
                <w:rFonts w:ascii="Arial" w:hAnsi="Arial" w:cs="Arial"/>
                <w:b/>
                <w:bCs/>
                <w:sz w:val="18"/>
                <w:szCs w:val="18"/>
                <w:lang w:eastAsia="en-AU"/>
              </w:rPr>
            </w:pPr>
            <w:proofErr w:type="spellStart"/>
            <w:proofErr w:type="gramStart"/>
            <w:r w:rsidRPr="0011239F">
              <w:rPr>
                <w:rFonts w:ascii="Arial" w:hAnsi="Arial" w:cs="Arial"/>
                <w:b/>
                <w:bCs/>
                <w:sz w:val="18"/>
                <w:szCs w:val="18"/>
                <w:lang w:eastAsia="en-AU"/>
              </w:rPr>
              <w:t>Non Current</w:t>
            </w:r>
            <w:proofErr w:type="spellEnd"/>
            <w:proofErr w:type="gramEnd"/>
            <w:r w:rsidRPr="0011239F">
              <w:rPr>
                <w:rFonts w:ascii="Arial" w:hAnsi="Arial" w:cs="Arial"/>
                <w:b/>
                <w:bCs/>
                <w:sz w:val="18"/>
                <w:szCs w:val="18"/>
                <w:lang w:eastAsia="en-AU"/>
              </w:rPr>
              <w:t xml:space="preserve"> Assets</w:t>
            </w:r>
          </w:p>
        </w:tc>
        <w:tc>
          <w:tcPr>
            <w:tcW w:w="618"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7120CB1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121D266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5"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0357E61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673B97FE"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4CC52BED"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Receivable</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332EF8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41BCC0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96E4AE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B481372"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7442C79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Receivables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0EF96F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62</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27E601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53</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539F3B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53</w:t>
            </w:r>
          </w:p>
        </w:tc>
      </w:tr>
      <w:tr w:rsidR="007940B2" w:rsidRPr="0011239F" w14:paraId="4525D473"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371EACF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Inventories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EDE748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729D92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B7C932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7D97077"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575409B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Financial Assets at Fair Value</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E062F7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E589F1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8DCC0B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DA9521E"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0BBC4C1E"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Equity Investments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1C0C7E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BC2D5A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2C8BE3A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EFE9F17"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33BFF13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Property, Plant and Equipment -</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59573D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188F28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6DCD7B4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22758BA8"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092A28F9"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Land and Building</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172966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33,174,984</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4018F6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31,733,787</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1AE6C73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33,172,390</w:t>
            </w:r>
          </w:p>
        </w:tc>
      </w:tr>
      <w:tr w:rsidR="007940B2" w:rsidRPr="0011239F" w14:paraId="170B196F"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127B7D7B"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Plant and Equipment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6899C2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307,010</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838F83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315,991</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C96FA40" w14:textId="657BC06F" w:rsidR="007940B2" w:rsidRPr="0011239F" w:rsidRDefault="00144D5B"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327,278</w:t>
            </w:r>
          </w:p>
        </w:tc>
      </w:tr>
      <w:tr w:rsidR="007940B2" w:rsidRPr="0011239F" w14:paraId="2A96A551"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1FDB62EF" w14:textId="77777777" w:rsidR="007940B2" w:rsidRPr="0011239F" w:rsidRDefault="007940B2" w:rsidP="006D21C9">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Infrastructure Systems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E6F39B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C06525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29909451" w14:textId="57924441" w:rsidR="007940B2" w:rsidRPr="0011239F" w:rsidRDefault="00144D5B"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41634BA"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7050EF9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Investment Properties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C05360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EF7464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F50A6A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B0248E1"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02F1982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Intangibles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9675FD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292,204</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DD5B4F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267,826</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6A8C7F7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232,335</w:t>
            </w:r>
          </w:p>
        </w:tc>
      </w:tr>
      <w:tr w:rsidR="007940B2" w:rsidRPr="0011239F" w14:paraId="48111DFA" w14:textId="77777777" w:rsidTr="002B6A79">
        <w:trPr>
          <w:gridAfter w:val="1"/>
          <w:wAfter w:w="11" w:type="pct"/>
          <w:trHeight w:val="225"/>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11B29B0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Assets</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0BF1693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475DC2B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auto"/>
              <w:right w:val="single" w:sz="4" w:space="0" w:color="FFFFFF"/>
            </w:tcBorders>
            <w:shd w:val="clear" w:color="auto" w:fill="auto"/>
            <w:noWrap/>
            <w:vAlign w:val="center"/>
            <w:hideMark/>
          </w:tcPr>
          <w:p w14:paraId="7302A8C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D41C757" w14:textId="77777777" w:rsidTr="002B6A79">
        <w:trPr>
          <w:gridAfter w:val="1"/>
          <w:wAfter w:w="11" w:type="pct"/>
          <w:trHeight w:val="340"/>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53B7D144"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Total </w:t>
            </w:r>
            <w:proofErr w:type="spellStart"/>
            <w:proofErr w:type="gramStart"/>
            <w:r w:rsidRPr="0011239F">
              <w:rPr>
                <w:rFonts w:ascii="Arial" w:hAnsi="Arial" w:cs="Arial"/>
                <w:b/>
                <w:bCs/>
                <w:color w:val="25A9E1"/>
                <w:sz w:val="18"/>
                <w:szCs w:val="18"/>
                <w:lang w:eastAsia="en-AU"/>
              </w:rPr>
              <w:t>Non Current</w:t>
            </w:r>
            <w:proofErr w:type="spellEnd"/>
            <w:proofErr w:type="gramEnd"/>
            <w:r w:rsidRPr="0011239F">
              <w:rPr>
                <w:rFonts w:ascii="Arial" w:hAnsi="Arial" w:cs="Arial"/>
                <w:b/>
                <w:bCs/>
                <w:color w:val="25A9E1"/>
                <w:sz w:val="18"/>
                <w:szCs w:val="18"/>
                <w:lang w:eastAsia="en-AU"/>
              </w:rPr>
              <w:t xml:space="preserve"> Assets</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4DE4088D"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33,774,260</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4028E3D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32,317,657</w:t>
            </w:r>
          </w:p>
        </w:tc>
        <w:tc>
          <w:tcPr>
            <w:tcW w:w="615"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7BB86D3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33,732,056</w:t>
            </w:r>
          </w:p>
        </w:tc>
      </w:tr>
      <w:tr w:rsidR="007940B2" w:rsidRPr="0011239F" w14:paraId="4BE6A698" w14:textId="77777777" w:rsidTr="002B6A79">
        <w:trPr>
          <w:gridAfter w:val="1"/>
          <w:wAfter w:w="11" w:type="pct"/>
          <w:trHeight w:val="340"/>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0F894D05"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Assets</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15C6866"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34,708,082</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11DD1A4"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33,292,175</w:t>
            </w:r>
          </w:p>
        </w:tc>
        <w:tc>
          <w:tcPr>
            <w:tcW w:w="615"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000707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34,879,727</w:t>
            </w:r>
          </w:p>
        </w:tc>
      </w:tr>
      <w:tr w:rsidR="007940B2" w:rsidRPr="0011239F" w14:paraId="752A7CC0"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6A92059C"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Liabilities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EEE1D3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FE2D3B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BE1EC1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56619C80"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7A00C882" w14:textId="77777777" w:rsidR="007940B2" w:rsidRPr="0011239F" w:rsidRDefault="007940B2" w:rsidP="003C6E9F">
            <w:pPr>
              <w:rPr>
                <w:rFonts w:ascii="Arial" w:hAnsi="Arial" w:cs="Arial"/>
                <w:b/>
                <w:bCs/>
                <w:sz w:val="18"/>
                <w:szCs w:val="18"/>
                <w:lang w:eastAsia="en-AU"/>
              </w:rPr>
            </w:pPr>
            <w:r w:rsidRPr="0011239F">
              <w:rPr>
                <w:rFonts w:ascii="Arial" w:hAnsi="Arial" w:cs="Arial"/>
                <w:b/>
                <w:bCs/>
                <w:sz w:val="18"/>
                <w:szCs w:val="18"/>
                <w:lang w:eastAsia="en-AU"/>
              </w:rPr>
              <w:t>Current Liabilities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B191FB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DE14B2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270DC59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3930F179"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79BDBD4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Payable</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F124FE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C8F993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2BF6E16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C86C7B6"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25AC816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Payables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5EC389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469,447</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2439DD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661,063</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670C438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661,695</w:t>
            </w:r>
          </w:p>
        </w:tc>
      </w:tr>
      <w:tr w:rsidR="007940B2" w:rsidRPr="0011239F" w14:paraId="0C5A2D39"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39A88A2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Liabilities at Fair Value</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1C7D4E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A3E7AC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9F80EB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59895D6"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7A859EE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Borrowings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32DCA6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7,269</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EBB8E97" w14:textId="21515AF7" w:rsidR="007940B2" w:rsidRPr="0011239F" w:rsidRDefault="00526E98"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147,768</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3C5A0C5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35,399</w:t>
            </w:r>
          </w:p>
        </w:tc>
      </w:tr>
      <w:tr w:rsidR="007940B2" w:rsidRPr="0011239F" w14:paraId="5FF5C0AB"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29B914FA"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Provisions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C66735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867,389</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162C29E" w14:textId="491B780B" w:rsidR="007940B2" w:rsidRPr="0011239F" w:rsidRDefault="00526E98"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901,784</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4D0F93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1,053,899</w:t>
            </w:r>
          </w:p>
        </w:tc>
      </w:tr>
      <w:tr w:rsidR="007940B2" w:rsidRPr="0011239F" w14:paraId="3288D091"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71ED4C7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79B641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100,275</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F5BD81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43,038</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617DCF5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43,920</w:t>
            </w:r>
          </w:p>
        </w:tc>
      </w:tr>
      <w:tr w:rsidR="007940B2" w:rsidRPr="0011239F" w14:paraId="4991A838"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45B623D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Liabilities Associated with Assets Held for Sale</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7789CEC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7CCEF37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auto"/>
              <w:right w:val="single" w:sz="4" w:space="0" w:color="FFFFFF"/>
            </w:tcBorders>
            <w:shd w:val="clear" w:color="auto" w:fill="auto"/>
            <w:noWrap/>
            <w:vAlign w:val="center"/>
            <w:hideMark/>
          </w:tcPr>
          <w:p w14:paraId="2A60405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A5B05A6" w14:textId="77777777" w:rsidTr="002B6A79">
        <w:trPr>
          <w:gridAfter w:val="1"/>
          <w:wAfter w:w="11" w:type="pct"/>
          <w:trHeight w:val="340"/>
        </w:trPr>
        <w:tc>
          <w:tcPr>
            <w:tcW w:w="3139"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3EF38EB"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Current Liabilities</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3B6781A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1,444,380</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0CE52435"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1,753,653</w:t>
            </w:r>
          </w:p>
        </w:tc>
        <w:tc>
          <w:tcPr>
            <w:tcW w:w="615"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4DAABE8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1,794,913</w:t>
            </w:r>
          </w:p>
        </w:tc>
      </w:tr>
      <w:tr w:rsidR="007940B2" w:rsidRPr="0011239F" w14:paraId="7BB39A9C"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00F48049" w14:textId="77777777" w:rsidR="007940B2" w:rsidRPr="0011239F" w:rsidRDefault="007940B2" w:rsidP="003C6E9F">
            <w:pPr>
              <w:rPr>
                <w:rFonts w:ascii="Arial" w:hAnsi="Arial" w:cs="Arial"/>
                <w:b/>
                <w:bCs/>
                <w:sz w:val="18"/>
                <w:szCs w:val="18"/>
                <w:lang w:eastAsia="en-AU"/>
              </w:rPr>
            </w:pPr>
            <w:proofErr w:type="spellStart"/>
            <w:proofErr w:type="gramStart"/>
            <w:r w:rsidRPr="0011239F">
              <w:rPr>
                <w:rFonts w:ascii="Arial" w:hAnsi="Arial" w:cs="Arial"/>
                <w:b/>
                <w:bCs/>
                <w:sz w:val="18"/>
                <w:szCs w:val="18"/>
                <w:lang w:eastAsia="en-AU"/>
              </w:rPr>
              <w:t>Non Current</w:t>
            </w:r>
            <w:proofErr w:type="spellEnd"/>
            <w:proofErr w:type="gramEnd"/>
            <w:r w:rsidRPr="0011239F">
              <w:rPr>
                <w:rFonts w:ascii="Arial" w:hAnsi="Arial" w:cs="Arial"/>
                <w:b/>
                <w:bCs/>
                <w:sz w:val="18"/>
                <w:szCs w:val="18"/>
                <w:lang w:eastAsia="en-AU"/>
              </w:rPr>
              <w:t xml:space="preserve"> Liabilities</w:t>
            </w:r>
          </w:p>
        </w:tc>
        <w:tc>
          <w:tcPr>
            <w:tcW w:w="618"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3EEA0ED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344923C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5"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74EE796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35562BC1"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343F562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Payable</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CD9A76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4F911C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222D0CF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A2C573A"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45D9596A"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Payables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E480A3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CBD414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337E952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D45046B"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321B1B0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Liabilities at Fair Value</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4E9601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8175BA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532493C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5265E82"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1BC7444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Borrowings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693359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148,861</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87C3EA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145,252</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717D0B4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316,408</w:t>
            </w:r>
          </w:p>
        </w:tc>
      </w:tr>
      <w:tr w:rsidR="007940B2" w:rsidRPr="0011239F" w14:paraId="73AC161C"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0C04989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Provisions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75E99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33,062</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342B32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41,175</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60DF5AD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41,175</w:t>
            </w:r>
          </w:p>
        </w:tc>
      </w:tr>
      <w:tr w:rsidR="007940B2" w:rsidRPr="0011239F" w14:paraId="5C895D81"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2BD918A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2926DB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2,578</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68708A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27,552</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563B0F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32,613</w:t>
            </w:r>
          </w:p>
        </w:tc>
      </w:tr>
      <w:tr w:rsidR="007940B2" w:rsidRPr="0011239F" w14:paraId="11918C72" w14:textId="77777777" w:rsidTr="002B6A79">
        <w:trPr>
          <w:gridAfter w:val="1"/>
          <w:wAfter w:w="11" w:type="pct"/>
          <w:trHeight w:val="340"/>
        </w:trPr>
        <w:tc>
          <w:tcPr>
            <w:tcW w:w="3139"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CD51347"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Total </w:t>
            </w:r>
            <w:proofErr w:type="spellStart"/>
            <w:proofErr w:type="gramStart"/>
            <w:r w:rsidRPr="0011239F">
              <w:rPr>
                <w:rFonts w:ascii="Arial" w:hAnsi="Arial" w:cs="Arial"/>
                <w:b/>
                <w:bCs/>
                <w:color w:val="25A9E1"/>
                <w:sz w:val="18"/>
                <w:szCs w:val="18"/>
                <w:lang w:eastAsia="en-AU"/>
              </w:rPr>
              <w:t>Non Current</w:t>
            </w:r>
            <w:proofErr w:type="spellEnd"/>
            <w:proofErr w:type="gramEnd"/>
            <w:r w:rsidRPr="0011239F">
              <w:rPr>
                <w:rFonts w:ascii="Arial" w:hAnsi="Arial" w:cs="Arial"/>
                <w:b/>
                <w:bCs/>
                <w:color w:val="25A9E1"/>
                <w:sz w:val="18"/>
                <w:szCs w:val="18"/>
                <w:lang w:eastAsia="en-AU"/>
              </w:rPr>
              <w:t xml:space="preserve"> Liabilities</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5515679"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184,502</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0C6F24F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213,980</w:t>
            </w:r>
          </w:p>
        </w:tc>
        <w:tc>
          <w:tcPr>
            <w:tcW w:w="615"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EE9FCBC"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390,197</w:t>
            </w:r>
          </w:p>
        </w:tc>
      </w:tr>
      <w:tr w:rsidR="007940B2" w:rsidRPr="0011239F" w14:paraId="40E01685" w14:textId="77777777" w:rsidTr="002B6A79">
        <w:trPr>
          <w:gridAfter w:val="1"/>
          <w:wAfter w:w="11" w:type="pct"/>
          <w:trHeight w:val="340"/>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17C5A438"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Liabilities</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1439B1AB"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1,628,882</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04619EE1"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1,967,633</w:t>
            </w:r>
          </w:p>
        </w:tc>
        <w:tc>
          <w:tcPr>
            <w:tcW w:w="615" w:type="pct"/>
            <w:gridSpan w:val="2"/>
            <w:tcBorders>
              <w:top w:val="nil"/>
              <w:left w:val="nil"/>
              <w:bottom w:val="single" w:sz="4" w:space="0" w:color="auto"/>
              <w:right w:val="single" w:sz="4" w:space="0" w:color="FFFFFF"/>
            </w:tcBorders>
            <w:shd w:val="clear" w:color="auto" w:fill="auto"/>
            <w:noWrap/>
            <w:vAlign w:val="center"/>
            <w:hideMark/>
          </w:tcPr>
          <w:p w14:paraId="3018C23B"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2,185,110</w:t>
            </w:r>
          </w:p>
        </w:tc>
      </w:tr>
      <w:tr w:rsidR="007940B2" w:rsidRPr="0011239F" w14:paraId="659907B9" w14:textId="77777777" w:rsidTr="002B6A79">
        <w:trPr>
          <w:gridAfter w:val="1"/>
          <w:wAfter w:w="11" w:type="pct"/>
          <w:trHeight w:val="340"/>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6FCCB1EC"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Net Assets</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1AD2A12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33,079,200</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1D7BFBCE"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31,324,542</w:t>
            </w:r>
          </w:p>
        </w:tc>
        <w:tc>
          <w:tcPr>
            <w:tcW w:w="615" w:type="pct"/>
            <w:gridSpan w:val="2"/>
            <w:tcBorders>
              <w:top w:val="nil"/>
              <w:left w:val="nil"/>
              <w:bottom w:val="single" w:sz="4" w:space="0" w:color="auto"/>
              <w:right w:val="single" w:sz="4" w:space="0" w:color="FFFFFF"/>
            </w:tcBorders>
            <w:shd w:val="clear" w:color="auto" w:fill="auto"/>
            <w:noWrap/>
            <w:vAlign w:val="center"/>
            <w:hideMark/>
          </w:tcPr>
          <w:p w14:paraId="3877C3A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32,694,617</w:t>
            </w:r>
          </w:p>
        </w:tc>
      </w:tr>
      <w:tr w:rsidR="007940B2" w:rsidRPr="0011239F" w14:paraId="12AEED97"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3ACA374C"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Equity</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AB8387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85A657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0EF2C65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0EABCD10"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5BDD7D5D"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Accumulated Funds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B1F4BE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14,297,866</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AAEAA3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14,407,091</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79C4D1A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15,777,166</w:t>
            </w:r>
          </w:p>
        </w:tc>
      </w:tr>
      <w:tr w:rsidR="007940B2" w:rsidRPr="0011239F" w14:paraId="21EED429" w14:textId="77777777" w:rsidTr="002B6A79">
        <w:trPr>
          <w:gridAfter w:val="1"/>
          <w:wAfter w:w="11" w:type="pct"/>
          <w:trHeight w:val="225"/>
        </w:trPr>
        <w:tc>
          <w:tcPr>
            <w:tcW w:w="3139" w:type="pct"/>
            <w:tcBorders>
              <w:top w:val="nil"/>
              <w:left w:val="single" w:sz="4" w:space="0" w:color="FFFFFF"/>
              <w:bottom w:val="single" w:sz="4" w:space="0" w:color="FFFFFF"/>
              <w:right w:val="single" w:sz="4" w:space="0" w:color="FFFFFF"/>
            </w:tcBorders>
            <w:shd w:val="clear" w:color="auto" w:fill="auto"/>
            <w:noWrap/>
            <w:vAlign w:val="center"/>
            <w:hideMark/>
          </w:tcPr>
          <w:p w14:paraId="6FE686BF"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Reserves</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9CC467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18,781,334</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CB857D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16,917,451</w:t>
            </w:r>
          </w:p>
        </w:tc>
        <w:tc>
          <w:tcPr>
            <w:tcW w:w="615" w:type="pct"/>
            <w:gridSpan w:val="2"/>
            <w:tcBorders>
              <w:top w:val="nil"/>
              <w:left w:val="nil"/>
              <w:bottom w:val="single" w:sz="4" w:space="0" w:color="FFFFFF"/>
              <w:right w:val="single" w:sz="4" w:space="0" w:color="FFFFFF"/>
            </w:tcBorders>
            <w:shd w:val="clear" w:color="auto" w:fill="auto"/>
            <w:noWrap/>
            <w:vAlign w:val="center"/>
            <w:hideMark/>
          </w:tcPr>
          <w:p w14:paraId="370DA7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16,917,451</w:t>
            </w:r>
          </w:p>
        </w:tc>
      </w:tr>
      <w:tr w:rsidR="007940B2" w:rsidRPr="0011239F" w14:paraId="1C1971C1" w14:textId="77777777" w:rsidTr="002B6A79">
        <w:trPr>
          <w:gridAfter w:val="1"/>
          <w:wAfter w:w="11" w:type="pct"/>
          <w:trHeight w:val="300"/>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624DE5CF"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Capital Equity</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617629E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0D31D4B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5" w:type="pct"/>
            <w:gridSpan w:val="2"/>
            <w:tcBorders>
              <w:top w:val="nil"/>
              <w:left w:val="nil"/>
              <w:bottom w:val="single" w:sz="4" w:space="0" w:color="auto"/>
              <w:right w:val="single" w:sz="4" w:space="0" w:color="FFFFFF"/>
            </w:tcBorders>
            <w:shd w:val="clear" w:color="auto" w:fill="auto"/>
            <w:noWrap/>
            <w:vAlign w:val="center"/>
            <w:hideMark/>
          </w:tcPr>
          <w:p w14:paraId="4BB93B0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57EFAF6" w14:textId="77777777" w:rsidTr="002B6A79">
        <w:trPr>
          <w:gridAfter w:val="1"/>
          <w:wAfter w:w="11" w:type="pct"/>
          <w:trHeight w:val="340"/>
        </w:trPr>
        <w:tc>
          <w:tcPr>
            <w:tcW w:w="3139" w:type="pct"/>
            <w:tcBorders>
              <w:top w:val="nil"/>
              <w:left w:val="single" w:sz="4" w:space="0" w:color="FFFFFF"/>
              <w:bottom w:val="single" w:sz="4" w:space="0" w:color="auto"/>
              <w:right w:val="single" w:sz="4" w:space="0" w:color="FFFFFF"/>
            </w:tcBorders>
            <w:shd w:val="clear" w:color="auto" w:fill="auto"/>
            <w:noWrap/>
            <w:vAlign w:val="center"/>
            <w:hideMark/>
          </w:tcPr>
          <w:p w14:paraId="172DAB2B"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Equity</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4E0C50FC"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33,079,200</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498BAE82"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31,324,542</w:t>
            </w:r>
          </w:p>
        </w:tc>
        <w:tc>
          <w:tcPr>
            <w:tcW w:w="615" w:type="pct"/>
            <w:gridSpan w:val="2"/>
            <w:tcBorders>
              <w:top w:val="nil"/>
              <w:left w:val="nil"/>
              <w:bottom w:val="single" w:sz="4" w:space="0" w:color="auto"/>
              <w:right w:val="single" w:sz="4" w:space="0" w:color="FFFFFF"/>
            </w:tcBorders>
            <w:shd w:val="clear" w:color="auto" w:fill="auto"/>
            <w:noWrap/>
            <w:vAlign w:val="center"/>
            <w:hideMark/>
          </w:tcPr>
          <w:p w14:paraId="0EB29EB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32,694,617</w:t>
            </w:r>
          </w:p>
        </w:tc>
      </w:tr>
    </w:tbl>
    <w:p w14:paraId="236EA994" w14:textId="77777777" w:rsidR="007940B2" w:rsidRPr="0011239F" w:rsidRDefault="007940B2" w:rsidP="00653655">
      <w:pPr>
        <w:pStyle w:val="ListParagraph"/>
        <w:spacing w:before="360"/>
        <w:ind w:left="405"/>
        <w:rPr>
          <w:rFonts w:cs="Arial"/>
        </w:rPr>
      </w:pPr>
    </w:p>
    <w:p w14:paraId="676C5021" w14:textId="77777777" w:rsidR="007940B2" w:rsidRPr="0011239F" w:rsidRDefault="007940B2" w:rsidP="005920E4">
      <w:pPr>
        <w:pStyle w:val="Heading4"/>
        <w:spacing w:before="0"/>
        <w:rPr>
          <w:rFonts w:cs="Arial"/>
          <w:lang w:eastAsia="en-AU"/>
        </w:rPr>
      </w:pPr>
      <w:r w:rsidRPr="0011239F">
        <w:rPr>
          <w:rFonts w:cs="Arial"/>
        </w:rPr>
        <w:br w:type="page"/>
      </w:r>
      <w:r w:rsidRPr="0011239F">
        <w:rPr>
          <w:rFonts w:cs="Arial"/>
          <w:lang w:eastAsia="en-AU"/>
        </w:rPr>
        <w:lastRenderedPageBreak/>
        <w:t>Cash Flow Statement</w:t>
      </w:r>
    </w:p>
    <w:tbl>
      <w:tblPr>
        <w:tblW w:w="5015" w:type="pct"/>
        <w:tblLook w:val="04A0" w:firstRow="1" w:lastRow="0" w:firstColumn="1" w:lastColumn="0" w:noHBand="0" w:noVBand="1"/>
        <w:tblCaption w:val="Department of Education"/>
        <w:tblDescription w:val="Department of Education - Cash Flow Statement"/>
      </w:tblPr>
      <w:tblGrid>
        <w:gridCol w:w="6101"/>
        <w:gridCol w:w="1191"/>
        <w:gridCol w:w="1191"/>
        <w:gridCol w:w="1185"/>
      </w:tblGrid>
      <w:tr w:rsidR="003C6E9F" w:rsidRPr="0011239F" w14:paraId="60663D61" w14:textId="77777777" w:rsidTr="003C6E9F">
        <w:trPr>
          <w:trHeight w:val="283"/>
        </w:trPr>
        <w:tc>
          <w:tcPr>
            <w:tcW w:w="3154" w:type="pct"/>
            <w:shd w:val="clear" w:color="auto" w:fill="00ABE6"/>
            <w:vAlign w:val="center"/>
            <w:hideMark/>
          </w:tcPr>
          <w:p w14:paraId="348EB583"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30" w:type="pct"/>
            <w:gridSpan w:val="2"/>
            <w:shd w:val="clear" w:color="auto" w:fill="00ABE6"/>
            <w:vAlign w:val="bottom"/>
            <w:hideMark/>
          </w:tcPr>
          <w:p w14:paraId="61D63DB3"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3" w:type="pct"/>
            <w:shd w:val="clear" w:color="auto" w:fill="00ABE6"/>
            <w:vAlign w:val="bottom"/>
            <w:hideMark/>
          </w:tcPr>
          <w:p w14:paraId="7309F76E"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5B753EDC" w14:textId="77777777" w:rsidTr="003C6E9F">
        <w:trPr>
          <w:trHeight w:val="255"/>
        </w:trPr>
        <w:tc>
          <w:tcPr>
            <w:tcW w:w="3154" w:type="pct"/>
            <w:shd w:val="clear" w:color="auto" w:fill="00ABE6"/>
            <w:vAlign w:val="center"/>
            <w:hideMark/>
          </w:tcPr>
          <w:p w14:paraId="4D4DAD58"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4" w:type="pct"/>
            <w:shd w:val="clear" w:color="auto" w:fill="00ABE6"/>
            <w:vAlign w:val="center"/>
            <w:hideMark/>
          </w:tcPr>
          <w:p w14:paraId="37FFF385"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5" w:type="pct"/>
            <w:shd w:val="clear" w:color="auto" w:fill="00ABE6"/>
            <w:vAlign w:val="center"/>
            <w:hideMark/>
          </w:tcPr>
          <w:p w14:paraId="712DF407"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3" w:type="pct"/>
            <w:shd w:val="clear" w:color="auto" w:fill="00ABE6"/>
            <w:vAlign w:val="center"/>
            <w:hideMark/>
          </w:tcPr>
          <w:p w14:paraId="0AF7B206"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313A3D86" w14:textId="77777777" w:rsidTr="003C6E9F">
        <w:trPr>
          <w:trHeight w:val="238"/>
        </w:trPr>
        <w:tc>
          <w:tcPr>
            <w:tcW w:w="3154" w:type="pct"/>
            <w:shd w:val="clear" w:color="auto" w:fill="0A7CB9"/>
            <w:vAlign w:val="center"/>
            <w:hideMark/>
          </w:tcPr>
          <w:p w14:paraId="3BF95DFB"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4" w:type="pct"/>
            <w:shd w:val="clear" w:color="auto" w:fill="0A7CB9"/>
            <w:hideMark/>
          </w:tcPr>
          <w:p w14:paraId="68973AC7"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5" w:type="pct"/>
            <w:shd w:val="clear" w:color="auto" w:fill="0A7CB9"/>
            <w:hideMark/>
          </w:tcPr>
          <w:p w14:paraId="0CB6C0E8"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3" w:type="pct"/>
            <w:shd w:val="clear" w:color="auto" w:fill="0A7CB9"/>
            <w:hideMark/>
          </w:tcPr>
          <w:p w14:paraId="5A134B3D"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72251417" w14:textId="77777777" w:rsidTr="003C6E9F">
        <w:trPr>
          <w:trHeight w:val="225"/>
        </w:trPr>
        <w:tc>
          <w:tcPr>
            <w:tcW w:w="315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5AE3121"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Operating Activities</w:t>
            </w:r>
          </w:p>
        </w:tc>
        <w:tc>
          <w:tcPr>
            <w:tcW w:w="616" w:type="pct"/>
            <w:tcBorders>
              <w:top w:val="single" w:sz="4" w:space="0" w:color="FFFFFF"/>
              <w:left w:val="nil"/>
              <w:bottom w:val="single" w:sz="4" w:space="0" w:color="FFFFFF"/>
              <w:right w:val="single" w:sz="4" w:space="0" w:color="FFFFFF"/>
            </w:tcBorders>
            <w:shd w:val="clear" w:color="auto" w:fill="auto"/>
            <w:noWrap/>
            <w:vAlign w:val="bottom"/>
            <w:hideMark/>
          </w:tcPr>
          <w:p w14:paraId="369FADBC"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single" w:sz="4" w:space="0" w:color="FFFFFF"/>
              <w:left w:val="nil"/>
              <w:bottom w:val="single" w:sz="4" w:space="0" w:color="FFFFFF"/>
              <w:right w:val="single" w:sz="4" w:space="0" w:color="FFFFFF"/>
            </w:tcBorders>
            <w:shd w:val="clear" w:color="auto" w:fill="auto"/>
            <w:noWrap/>
            <w:vAlign w:val="bottom"/>
            <w:hideMark/>
          </w:tcPr>
          <w:p w14:paraId="26D8CAC2"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FFFFFF"/>
              <w:left w:val="nil"/>
              <w:bottom w:val="single" w:sz="4" w:space="0" w:color="FFFFFF"/>
              <w:right w:val="single" w:sz="4" w:space="0" w:color="FFFFFF"/>
            </w:tcBorders>
            <w:shd w:val="clear" w:color="auto" w:fill="auto"/>
            <w:noWrap/>
            <w:vAlign w:val="bottom"/>
            <w:hideMark/>
          </w:tcPr>
          <w:p w14:paraId="65E73690"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626E8D31"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380B822" w14:textId="77777777" w:rsidR="007940B2" w:rsidRPr="0011239F" w:rsidRDefault="007940B2" w:rsidP="007940B2">
            <w:pPr>
              <w:rPr>
                <w:rFonts w:ascii="Arial" w:hAnsi="Arial" w:cs="Arial"/>
                <w:b/>
                <w:bCs/>
                <w:sz w:val="18"/>
                <w:szCs w:val="18"/>
                <w:lang w:eastAsia="en-AU"/>
              </w:rPr>
            </w:pPr>
            <w:r w:rsidRPr="0011239F">
              <w:rPr>
                <w:rFonts w:ascii="Arial" w:hAnsi="Arial" w:cs="Arial"/>
                <w:b/>
                <w:bCs/>
                <w:sz w:val="18"/>
                <w:szCs w:val="18"/>
                <w:lang w:eastAsia="en-AU"/>
              </w:rPr>
              <w:t>Payments</w:t>
            </w:r>
          </w:p>
        </w:tc>
        <w:tc>
          <w:tcPr>
            <w:tcW w:w="616" w:type="pct"/>
            <w:tcBorders>
              <w:top w:val="nil"/>
              <w:left w:val="nil"/>
              <w:bottom w:val="single" w:sz="4" w:space="0" w:color="FFFFFF"/>
              <w:right w:val="single" w:sz="4" w:space="0" w:color="FFFFFF"/>
            </w:tcBorders>
            <w:shd w:val="clear" w:color="auto" w:fill="auto"/>
            <w:noWrap/>
            <w:vAlign w:val="bottom"/>
            <w:hideMark/>
          </w:tcPr>
          <w:p w14:paraId="4C24BAE8"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nil"/>
              <w:left w:val="nil"/>
              <w:bottom w:val="single" w:sz="4" w:space="0" w:color="FFFFFF"/>
              <w:right w:val="single" w:sz="4" w:space="0" w:color="FFFFFF"/>
            </w:tcBorders>
            <w:shd w:val="clear" w:color="auto" w:fill="auto"/>
            <w:noWrap/>
            <w:vAlign w:val="bottom"/>
            <w:hideMark/>
          </w:tcPr>
          <w:p w14:paraId="382325DB"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377018A7"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2BC9267D"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462B786D"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Employee Related</w:t>
            </w:r>
          </w:p>
        </w:tc>
        <w:tc>
          <w:tcPr>
            <w:tcW w:w="616" w:type="pct"/>
            <w:tcBorders>
              <w:top w:val="nil"/>
              <w:left w:val="nil"/>
              <w:bottom w:val="single" w:sz="4" w:space="0" w:color="FFFFFF"/>
              <w:right w:val="single" w:sz="4" w:space="0" w:color="FFFFFF"/>
            </w:tcBorders>
            <w:shd w:val="clear" w:color="auto" w:fill="auto"/>
            <w:noWrap/>
            <w:vAlign w:val="center"/>
            <w:hideMark/>
          </w:tcPr>
          <w:p w14:paraId="0CB7CF7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9,441,874</w:t>
            </w:r>
          </w:p>
        </w:tc>
        <w:tc>
          <w:tcPr>
            <w:tcW w:w="616" w:type="pct"/>
            <w:tcBorders>
              <w:top w:val="nil"/>
              <w:left w:val="nil"/>
              <w:bottom w:val="single" w:sz="4" w:space="0" w:color="FFFFFF"/>
              <w:right w:val="single" w:sz="4" w:space="0" w:color="FFFFFF"/>
            </w:tcBorders>
            <w:shd w:val="clear" w:color="auto" w:fill="auto"/>
            <w:noWrap/>
            <w:vAlign w:val="center"/>
            <w:hideMark/>
          </w:tcPr>
          <w:p w14:paraId="029E7787" w14:textId="3DD90E52"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w:t>
            </w:r>
            <w:r w:rsidR="00526E98" w:rsidRPr="0011239F">
              <w:rPr>
                <w:rFonts w:ascii="Arial" w:hAnsi="Arial" w:cs="Arial"/>
                <w:color w:val="000000"/>
                <w:sz w:val="18"/>
                <w:szCs w:val="18"/>
                <w:lang w:eastAsia="en-AU"/>
              </w:rPr>
              <w:t>656,745</w:t>
            </w:r>
          </w:p>
        </w:tc>
        <w:tc>
          <w:tcPr>
            <w:tcW w:w="613" w:type="pct"/>
            <w:tcBorders>
              <w:top w:val="nil"/>
              <w:left w:val="nil"/>
              <w:bottom w:val="single" w:sz="4" w:space="0" w:color="FFFFFF"/>
              <w:right w:val="single" w:sz="4" w:space="0" w:color="FFFFFF"/>
            </w:tcBorders>
            <w:shd w:val="clear" w:color="auto" w:fill="auto"/>
            <w:noWrap/>
            <w:vAlign w:val="center"/>
            <w:hideMark/>
          </w:tcPr>
          <w:p w14:paraId="145C161E" w14:textId="1BC05934" w:rsidR="007940B2" w:rsidRPr="0011239F" w:rsidRDefault="009A568B"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10,491,516</w:t>
            </w:r>
          </w:p>
        </w:tc>
      </w:tr>
      <w:tr w:rsidR="007940B2" w:rsidRPr="0011239F" w14:paraId="058C0484"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5ED64C9F"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Personnel Services</w:t>
            </w:r>
          </w:p>
        </w:tc>
        <w:tc>
          <w:tcPr>
            <w:tcW w:w="616" w:type="pct"/>
            <w:tcBorders>
              <w:top w:val="nil"/>
              <w:left w:val="nil"/>
              <w:bottom w:val="single" w:sz="4" w:space="0" w:color="FFFFFF"/>
              <w:right w:val="single" w:sz="4" w:space="0" w:color="FFFFFF"/>
            </w:tcBorders>
            <w:shd w:val="clear" w:color="auto" w:fill="auto"/>
            <w:noWrap/>
            <w:vAlign w:val="center"/>
            <w:hideMark/>
          </w:tcPr>
          <w:p w14:paraId="5E4646F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491DCF2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7A08E9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E355317"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795E982"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Grants and Subsidies</w:t>
            </w:r>
          </w:p>
        </w:tc>
        <w:tc>
          <w:tcPr>
            <w:tcW w:w="616" w:type="pct"/>
            <w:tcBorders>
              <w:top w:val="nil"/>
              <w:left w:val="nil"/>
              <w:bottom w:val="single" w:sz="4" w:space="0" w:color="FFFFFF"/>
              <w:right w:val="single" w:sz="4" w:space="0" w:color="FFFFFF"/>
            </w:tcBorders>
            <w:shd w:val="clear" w:color="auto" w:fill="auto"/>
            <w:noWrap/>
            <w:vAlign w:val="center"/>
            <w:hideMark/>
          </w:tcPr>
          <w:p w14:paraId="7D2C0AD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1,989,221</w:t>
            </w:r>
          </w:p>
        </w:tc>
        <w:tc>
          <w:tcPr>
            <w:tcW w:w="616" w:type="pct"/>
            <w:tcBorders>
              <w:top w:val="nil"/>
              <w:left w:val="nil"/>
              <w:bottom w:val="single" w:sz="4" w:space="0" w:color="FFFFFF"/>
              <w:right w:val="single" w:sz="4" w:space="0" w:color="FFFFFF"/>
            </w:tcBorders>
            <w:shd w:val="clear" w:color="auto" w:fill="auto"/>
            <w:noWrap/>
            <w:vAlign w:val="center"/>
            <w:hideMark/>
          </w:tcPr>
          <w:p w14:paraId="1DA912E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1,962,870</w:t>
            </w:r>
          </w:p>
        </w:tc>
        <w:tc>
          <w:tcPr>
            <w:tcW w:w="613" w:type="pct"/>
            <w:tcBorders>
              <w:top w:val="nil"/>
              <w:left w:val="nil"/>
              <w:bottom w:val="single" w:sz="4" w:space="0" w:color="FFFFFF"/>
              <w:right w:val="single" w:sz="4" w:space="0" w:color="FFFFFF"/>
            </w:tcBorders>
            <w:shd w:val="clear" w:color="auto" w:fill="auto"/>
            <w:noWrap/>
            <w:vAlign w:val="center"/>
            <w:hideMark/>
          </w:tcPr>
          <w:p w14:paraId="7A4618E0" w14:textId="3D2AD8C3" w:rsidR="007940B2" w:rsidRPr="0011239F" w:rsidRDefault="009A568B"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3,999,658</w:t>
            </w:r>
          </w:p>
        </w:tc>
      </w:tr>
      <w:tr w:rsidR="007940B2" w:rsidRPr="0011239F" w14:paraId="189AF315"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0EC1942B"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Finance Costs</w:t>
            </w:r>
          </w:p>
        </w:tc>
        <w:tc>
          <w:tcPr>
            <w:tcW w:w="616" w:type="pct"/>
            <w:tcBorders>
              <w:top w:val="nil"/>
              <w:left w:val="nil"/>
              <w:bottom w:val="single" w:sz="4" w:space="0" w:color="FFFFFF"/>
              <w:right w:val="single" w:sz="4" w:space="0" w:color="FFFFFF"/>
            </w:tcBorders>
            <w:shd w:val="clear" w:color="auto" w:fill="auto"/>
            <w:noWrap/>
            <w:vAlign w:val="center"/>
            <w:hideMark/>
          </w:tcPr>
          <w:p w14:paraId="335DDE0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19,823</w:t>
            </w:r>
          </w:p>
        </w:tc>
        <w:tc>
          <w:tcPr>
            <w:tcW w:w="616" w:type="pct"/>
            <w:tcBorders>
              <w:top w:val="nil"/>
              <w:left w:val="nil"/>
              <w:bottom w:val="single" w:sz="4" w:space="0" w:color="FFFFFF"/>
              <w:right w:val="single" w:sz="4" w:space="0" w:color="FFFFFF"/>
            </w:tcBorders>
            <w:shd w:val="clear" w:color="auto" w:fill="auto"/>
            <w:noWrap/>
            <w:vAlign w:val="center"/>
            <w:hideMark/>
          </w:tcPr>
          <w:p w14:paraId="331AC8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19,471</w:t>
            </w:r>
          </w:p>
        </w:tc>
        <w:tc>
          <w:tcPr>
            <w:tcW w:w="613" w:type="pct"/>
            <w:tcBorders>
              <w:top w:val="nil"/>
              <w:left w:val="nil"/>
              <w:bottom w:val="single" w:sz="4" w:space="0" w:color="FFFFFF"/>
              <w:right w:val="single" w:sz="4" w:space="0" w:color="FFFFFF"/>
            </w:tcBorders>
            <w:shd w:val="clear" w:color="auto" w:fill="auto"/>
            <w:noWrap/>
            <w:vAlign w:val="center"/>
            <w:hideMark/>
          </w:tcPr>
          <w:p w14:paraId="2599CEB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19,799</w:t>
            </w:r>
          </w:p>
        </w:tc>
      </w:tr>
      <w:tr w:rsidR="007940B2" w:rsidRPr="0011239F" w14:paraId="73C39B11"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0B6C2880"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Equivalent Income Tax</w:t>
            </w:r>
          </w:p>
        </w:tc>
        <w:tc>
          <w:tcPr>
            <w:tcW w:w="616" w:type="pct"/>
            <w:tcBorders>
              <w:top w:val="nil"/>
              <w:left w:val="nil"/>
              <w:bottom w:val="single" w:sz="4" w:space="0" w:color="FFFFFF"/>
              <w:right w:val="single" w:sz="4" w:space="0" w:color="FFFFFF"/>
            </w:tcBorders>
            <w:shd w:val="clear" w:color="auto" w:fill="auto"/>
            <w:noWrap/>
            <w:vAlign w:val="center"/>
            <w:hideMark/>
          </w:tcPr>
          <w:p w14:paraId="4F5A6EF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5B6104D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4030AD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4251F83" w14:textId="77777777" w:rsidTr="003C6E9F">
        <w:trPr>
          <w:trHeight w:val="225"/>
        </w:trPr>
        <w:tc>
          <w:tcPr>
            <w:tcW w:w="3155" w:type="pct"/>
            <w:tcBorders>
              <w:top w:val="nil"/>
              <w:left w:val="single" w:sz="4" w:space="0" w:color="FFFFFF"/>
              <w:bottom w:val="nil"/>
              <w:right w:val="single" w:sz="4" w:space="0" w:color="FFFFFF"/>
            </w:tcBorders>
            <w:shd w:val="clear" w:color="auto" w:fill="auto"/>
            <w:noWrap/>
            <w:vAlign w:val="center"/>
            <w:hideMark/>
          </w:tcPr>
          <w:p w14:paraId="3220C786"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Payments</w:t>
            </w:r>
          </w:p>
        </w:tc>
        <w:tc>
          <w:tcPr>
            <w:tcW w:w="616" w:type="pct"/>
            <w:tcBorders>
              <w:top w:val="nil"/>
              <w:left w:val="nil"/>
              <w:bottom w:val="nil"/>
              <w:right w:val="single" w:sz="4" w:space="0" w:color="FFFFFF"/>
            </w:tcBorders>
            <w:shd w:val="clear" w:color="auto" w:fill="auto"/>
            <w:noWrap/>
            <w:vAlign w:val="center"/>
            <w:hideMark/>
          </w:tcPr>
          <w:p w14:paraId="2E932C5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3,397,305</w:t>
            </w:r>
          </w:p>
        </w:tc>
        <w:tc>
          <w:tcPr>
            <w:tcW w:w="616" w:type="pct"/>
            <w:tcBorders>
              <w:top w:val="nil"/>
              <w:left w:val="nil"/>
              <w:bottom w:val="nil"/>
              <w:right w:val="single" w:sz="4" w:space="0" w:color="FFFFFF"/>
            </w:tcBorders>
            <w:shd w:val="clear" w:color="auto" w:fill="auto"/>
            <w:noWrap/>
            <w:vAlign w:val="center"/>
            <w:hideMark/>
          </w:tcPr>
          <w:p w14:paraId="5F188BB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2,738,140</w:t>
            </w:r>
          </w:p>
        </w:tc>
        <w:tc>
          <w:tcPr>
            <w:tcW w:w="613" w:type="pct"/>
            <w:tcBorders>
              <w:top w:val="nil"/>
              <w:left w:val="nil"/>
              <w:bottom w:val="nil"/>
              <w:right w:val="single" w:sz="4" w:space="0" w:color="FFFFFF"/>
            </w:tcBorders>
            <w:shd w:val="clear" w:color="auto" w:fill="auto"/>
            <w:noWrap/>
            <w:vAlign w:val="center"/>
            <w:hideMark/>
          </w:tcPr>
          <w:p w14:paraId="4BB61A8B" w14:textId="2FCA8583" w:rsidR="007940B2" w:rsidRPr="0011239F" w:rsidRDefault="009A568B"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2,796,089</w:t>
            </w:r>
          </w:p>
        </w:tc>
      </w:tr>
      <w:tr w:rsidR="007940B2" w:rsidRPr="0011239F" w14:paraId="4B892CA7" w14:textId="77777777" w:rsidTr="00A11350">
        <w:trPr>
          <w:trHeight w:val="340"/>
        </w:trPr>
        <w:tc>
          <w:tcPr>
            <w:tcW w:w="315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3F36B656" w14:textId="77777777" w:rsidR="007940B2" w:rsidRPr="0011239F" w:rsidRDefault="007940B2" w:rsidP="003C6E9F">
            <w:pPr>
              <w:ind w:firstLineChars="100" w:firstLine="181"/>
              <w:rPr>
                <w:rFonts w:ascii="Arial" w:hAnsi="Arial" w:cs="Arial"/>
                <w:b/>
                <w:bCs/>
                <w:color w:val="25A9E1"/>
                <w:sz w:val="18"/>
                <w:szCs w:val="18"/>
                <w:lang w:eastAsia="en-AU"/>
              </w:rPr>
            </w:pPr>
            <w:r w:rsidRPr="0011239F">
              <w:rPr>
                <w:rFonts w:ascii="Arial" w:hAnsi="Arial" w:cs="Arial"/>
                <w:b/>
                <w:bCs/>
                <w:color w:val="25A9E1"/>
                <w:sz w:val="18"/>
                <w:szCs w:val="18"/>
                <w:lang w:eastAsia="en-AU"/>
              </w:rPr>
              <w:t>Total Payments</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30FDE19A"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14,848,224</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16C49B0D" w14:textId="4B072ED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14,</w:t>
            </w:r>
            <w:r w:rsidR="00526E98" w:rsidRPr="0011239F">
              <w:rPr>
                <w:rFonts w:ascii="Arial" w:hAnsi="Arial" w:cs="Arial"/>
                <w:b/>
                <w:bCs/>
                <w:color w:val="25A9E1"/>
                <w:sz w:val="18"/>
                <w:szCs w:val="18"/>
                <w:lang w:eastAsia="en-AU"/>
              </w:rPr>
              <w:t>377,226</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0F7D0DDA" w14:textId="0770AFCF" w:rsidR="007940B2" w:rsidRPr="0011239F" w:rsidRDefault="009A568B"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17,307,061</w:t>
            </w:r>
          </w:p>
        </w:tc>
      </w:tr>
      <w:tr w:rsidR="007940B2" w:rsidRPr="0011239F" w14:paraId="6B6A5D0A"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882CEF1" w14:textId="77777777" w:rsidR="007940B2" w:rsidRPr="0011239F" w:rsidRDefault="007940B2" w:rsidP="003C6E9F">
            <w:pPr>
              <w:rPr>
                <w:rFonts w:ascii="Arial" w:hAnsi="Arial" w:cs="Arial"/>
                <w:b/>
                <w:bCs/>
                <w:sz w:val="18"/>
                <w:szCs w:val="18"/>
                <w:lang w:eastAsia="en-AU"/>
              </w:rPr>
            </w:pPr>
            <w:r w:rsidRPr="0011239F">
              <w:rPr>
                <w:rFonts w:ascii="Arial" w:hAnsi="Arial" w:cs="Arial"/>
                <w:b/>
                <w:bCs/>
                <w:sz w:val="18"/>
                <w:szCs w:val="18"/>
                <w:lang w:eastAsia="en-AU"/>
              </w:rPr>
              <w:t>Receipts</w:t>
            </w:r>
          </w:p>
        </w:tc>
        <w:tc>
          <w:tcPr>
            <w:tcW w:w="616" w:type="pct"/>
            <w:tcBorders>
              <w:top w:val="nil"/>
              <w:left w:val="nil"/>
              <w:bottom w:val="single" w:sz="4" w:space="0" w:color="FFFFFF"/>
              <w:right w:val="single" w:sz="4" w:space="0" w:color="FFFFFF"/>
            </w:tcBorders>
            <w:shd w:val="clear" w:color="auto" w:fill="auto"/>
            <w:noWrap/>
            <w:vAlign w:val="center"/>
            <w:hideMark/>
          </w:tcPr>
          <w:p w14:paraId="7D49F04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nil"/>
              <w:left w:val="nil"/>
              <w:bottom w:val="single" w:sz="4" w:space="0" w:color="FFFFFF"/>
              <w:right w:val="single" w:sz="4" w:space="0" w:color="FFFFFF"/>
            </w:tcBorders>
            <w:shd w:val="clear" w:color="auto" w:fill="auto"/>
            <w:noWrap/>
            <w:vAlign w:val="center"/>
            <w:hideMark/>
          </w:tcPr>
          <w:p w14:paraId="1894CAB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1F32657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5EEBEE4E"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A80434A"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Appropriation</w:t>
            </w:r>
          </w:p>
        </w:tc>
        <w:tc>
          <w:tcPr>
            <w:tcW w:w="616" w:type="pct"/>
            <w:tcBorders>
              <w:top w:val="nil"/>
              <w:left w:val="nil"/>
              <w:bottom w:val="single" w:sz="4" w:space="0" w:color="FFFFFF"/>
              <w:right w:val="single" w:sz="4" w:space="0" w:color="FFFFFF"/>
            </w:tcBorders>
            <w:shd w:val="clear" w:color="auto" w:fill="auto"/>
            <w:noWrap/>
            <w:vAlign w:val="center"/>
            <w:hideMark/>
          </w:tcPr>
          <w:p w14:paraId="55A2550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14,838,776</w:t>
            </w:r>
          </w:p>
        </w:tc>
        <w:tc>
          <w:tcPr>
            <w:tcW w:w="616" w:type="pct"/>
            <w:tcBorders>
              <w:top w:val="nil"/>
              <w:left w:val="nil"/>
              <w:bottom w:val="single" w:sz="4" w:space="0" w:color="FFFFFF"/>
              <w:right w:val="single" w:sz="4" w:space="0" w:color="FFFFFF"/>
            </w:tcBorders>
            <w:shd w:val="clear" w:color="auto" w:fill="auto"/>
            <w:noWrap/>
            <w:vAlign w:val="center"/>
            <w:hideMark/>
          </w:tcPr>
          <w:p w14:paraId="4FA5FE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14,686,601</w:t>
            </w:r>
          </w:p>
        </w:tc>
        <w:tc>
          <w:tcPr>
            <w:tcW w:w="613" w:type="pct"/>
            <w:tcBorders>
              <w:top w:val="nil"/>
              <w:left w:val="nil"/>
              <w:bottom w:val="single" w:sz="4" w:space="0" w:color="FFFFFF"/>
              <w:right w:val="single" w:sz="4" w:space="0" w:color="FFFFFF"/>
            </w:tcBorders>
            <w:shd w:val="clear" w:color="auto" w:fill="auto"/>
            <w:noWrap/>
            <w:vAlign w:val="center"/>
            <w:hideMark/>
          </w:tcPr>
          <w:p w14:paraId="2E2F12AB" w14:textId="09155B0A"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18,08</w:t>
            </w:r>
            <w:r w:rsidR="009A568B" w:rsidRPr="0011239F">
              <w:rPr>
                <w:rFonts w:ascii="Arial" w:hAnsi="Arial" w:cs="Arial"/>
                <w:color w:val="000000"/>
                <w:sz w:val="18"/>
                <w:szCs w:val="18"/>
                <w:lang w:eastAsia="en-AU"/>
              </w:rPr>
              <w:t>5,890</w:t>
            </w:r>
          </w:p>
        </w:tc>
      </w:tr>
      <w:tr w:rsidR="007940B2" w:rsidRPr="0011239F" w14:paraId="7C86BFC8"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C220B6B"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Cluster Grant Revenue</w:t>
            </w:r>
          </w:p>
        </w:tc>
        <w:tc>
          <w:tcPr>
            <w:tcW w:w="616" w:type="pct"/>
            <w:tcBorders>
              <w:top w:val="nil"/>
              <w:left w:val="nil"/>
              <w:bottom w:val="single" w:sz="4" w:space="0" w:color="FFFFFF"/>
              <w:right w:val="single" w:sz="4" w:space="0" w:color="FFFFFF"/>
            </w:tcBorders>
            <w:shd w:val="clear" w:color="auto" w:fill="auto"/>
            <w:noWrap/>
            <w:vAlign w:val="center"/>
            <w:hideMark/>
          </w:tcPr>
          <w:p w14:paraId="611CBC9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267CF4C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2C862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64BF209"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58785EA1"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Cash reimbursements from the Crown Entity</w:t>
            </w:r>
          </w:p>
        </w:tc>
        <w:tc>
          <w:tcPr>
            <w:tcW w:w="616" w:type="pct"/>
            <w:tcBorders>
              <w:top w:val="nil"/>
              <w:left w:val="nil"/>
              <w:bottom w:val="single" w:sz="4" w:space="0" w:color="FFFFFF"/>
              <w:right w:val="single" w:sz="4" w:space="0" w:color="FFFFFF"/>
            </w:tcBorders>
            <w:shd w:val="clear" w:color="auto" w:fill="auto"/>
            <w:noWrap/>
            <w:vAlign w:val="center"/>
            <w:hideMark/>
          </w:tcPr>
          <w:p w14:paraId="1CD333D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6D77668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8A67E6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20C9F99"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A911B15"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Sale Proceeds Transfers to the Crown Entity</w:t>
            </w:r>
          </w:p>
        </w:tc>
        <w:tc>
          <w:tcPr>
            <w:tcW w:w="616" w:type="pct"/>
            <w:tcBorders>
              <w:top w:val="nil"/>
              <w:left w:val="nil"/>
              <w:bottom w:val="single" w:sz="4" w:space="0" w:color="FFFFFF"/>
              <w:right w:val="single" w:sz="4" w:space="0" w:color="FFFFFF"/>
            </w:tcBorders>
            <w:shd w:val="clear" w:color="auto" w:fill="auto"/>
            <w:noWrap/>
            <w:vAlign w:val="center"/>
            <w:hideMark/>
          </w:tcPr>
          <w:p w14:paraId="5BC8F05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46B8E8C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EC837A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94A7A74"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59536974"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Cash transfers to the Crown Entity</w:t>
            </w:r>
          </w:p>
        </w:tc>
        <w:tc>
          <w:tcPr>
            <w:tcW w:w="616" w:type="pct"/>
            <w:tcBorders>
              <w:top w:val="nil"/>
              <w:left w:val="nil"/>
              <w:bottom w:val="single" w:sz="4" w:space="0" w:color="FFFFFF"/>
              <w:right w:val="single" w:sz="4" w:space="0" w:color="FFFFFF"/>
            </w:tcBorders>
            <w:shd w:val="clear" w:color="auto" w:fill="auto"/>
            <w:noWrap/>
            <w:vAlign w:val="center"/>
            <w:hideMark/>
          </w:tcPr>
          <w:p w14:paraId="70015BC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7F2BF7C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4CD769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7709D5D"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948B5EA"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Sale of Goods and Services</w:t>
            </w:r>
          </w:p>
        </w:tc>
        <w:tc>
          <w:tcPr>
            <w:tcW w:w="616" w:type="pct"/>
            <w:tcBorders>
              <w:top w:val="nil"/>
              <w:left w:val="nil"/>
              <w:bottom w:val="single" w:sz="4" w:space="0" w:color="FFFFFF"/>
              <w:right w:val="single" w:sz="4" w:space="0" w:color="FFFFFF"/>
            </w:tcBorders>
            <w:shd w:val="clear" w:color="auto" w:fill="auto"/>
            <w:noWrap/>
            <w:vAlign w:val="center"/>
            <w:hideMark/>
          </w:tcPr>
          <w:p w14:paraId="2577C2E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529,361</w:t>
            </w:r>
          </w:p>
        </w:tc>
        <w:tc>
          <w:tcPr>
            <w:tcW w:w="616" w:type="pct"/>
            <w:tcBorders>
              <w:top w:val="nil"/>
              <w:left w:val="nil"/>
              <w:bottom w:val="single" w:sz="4" w:space="0" w:color="FFFFFF"/>
              <w:right w:val="single" w:sz="4" w:space="0" w:color="FFFFFF"/>
            </w:tcBorders>
            <w:shd w:val="clear" w:color="auto" w:fill="auto"/>
            <w:noWrap/>
            <w:vAlign w:val="center"/>
            <w:hideMark/>
          </w:tcPr>
          <w:p w14:paraId="7E7DCDA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440,647</w:t>
            </w:r>
          </w:p>
        </w:tc>
        <w:tc>
          <w:tcPr>
            <w:tcW w:w="613" w:type="pct"/>
            <w:tcBorders>
              <w:top w:val="nil"/>
              <w:left w:val="nil"/>
              <w:bottom w:val="single" w:sz="4" w:space="0" w:color="FFFFFF"/>
              <w:right w:val="single" w:sz="4" w:space="0" w:color="FFFFFF"/>
            </w:tcBorders>
            <w:shd w:val="clear" w:color="auto" w:fill="auto"/>
            <w:noWrap/>
            <w:vAlign w:val="center"/>
            <w:hideMark/>
          </w:tcPr>
          <w:p w14:paraId="3B48159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643,009</w:t>
            </w:r>
          </w:p>
        </w:tc>
      </w:tr>
      <w:tr w:rsidR="007940B2" w:rsidRPr="0011239F" w14:paraId="14E8AC8A"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651E762"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Retained Taxes, Fees and Fines</w:t>
            </w:r>
          </w:p>
        </w:tc>
        <w:tc>
          <w:tcPr>
            <w:tcW w:w="616" w:type="pct"/>
            <w:tcBorders>
              <w:top w:val="nil"/>
              <w:left w:val="nil"/>
              <w:bottom w:val="single" w:sz="4" w:space="0" w:color="FFFFFF"/>
              <w:right w:val="single" w:sz="4" w:space="0" w:color="FFFFFF"/>
            </w:tcBorders>
            <w:shd w:val="clear" w:color="auto" w:fill="auto"/>
            <w:noWrap/>
            <w:vAlign w:val="center"/>
            <w:hideMark/>
          </w:tcPr>
          <w:p w14:paraId="5F2651F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5C23A03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DC620E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AD84C5D"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3D2FD837"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Interest Received</w:t>
            </w:r>
          </w:p>
        </w:tc>
        <w:tc>
          <w:tcPr>
            <w:tcW w:w="616" w:type="pct"/>
            <w:tcBorders>
              <w:top w:val="nil"/>
              <w:left w:val="nil"/>
              <w:bottom w:val="single" w:sz="4" w:space="0" w:color="FFFFFF"/>
              <w:right w:val="single" w:sz="4" w:space="0" w:color="FFFFFF"/>
            </w:tcBorders>
            <w:shd w:val="clear" w:color="auto" w:fill="auto"/>
            <w:noWrap/>
            <w:vAlign w:val="center"/>
            <w:hideMark/>
          </w:tcPr>
          <w:p w14:paraId="6F8684A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3,297</w:t>
            </w:r>
          </w:p>
        </w:tc>
        <w:tc>
          <w:tcPr>
            <w:tcW w:w="616" w:type="pct"/>
            <w:tcBorders>
              <w:top w:val="nil"/>
              <w:left w:val="nil"/>
              <w:bottom w:val="single" w:sz="4" w:space="0" w:color="FFFFFF"/>
              <w:right w:val="single" w:sz="4" w:space="0" w:color="FFFFFF"/>
            </w:tcBorders>
            <w:shd w:val="clear" w:color="auto" w:fill="auto"/>
            <w:noWrap/>
            <w:vAlign w:val="center"/>
            <w:hideMark/>
          </w:tcPr>
          <w:p w14:paraId="169BF03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12,337</w:t>
            </w:r>
          </w:p>
        </w:tc>
        <w:tc>
          <w:tcPr>
            <w:tcW w:w="613" w:type="pct"/>
            <w:tcBorders>
              <w:top w:val="nil"/>
              <w:left w:val="nil"/>
              <w:bottom w:val="single" w:sz="4" w:space="0" w:color="FFFFFF"/>
              <w:right w:val="single" w:sz="4" w:space="0" w:color="FFFFFF"/>
            </w:tcBorders>
            <w:shd w:val="clear" w:color="auto" w:fill="auto"/>
            <w:noWrap/>
            <w:vAlign w:val="center"/>
            <w:hideMark/>
          </w:tcPr>
          <w:p w14:paraId="775BE11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17,830</w:t>
            </w:r>
          </w:p>
        </w:tc>
      </w:tr>
      <w:tr w:rsidR="007940B2" w:rsidRPr="0011239F" w14:paraId="32963B8E"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6F6470D"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Grants and Contributions</w:t>
            </w:r>
          </w:p>
        </w:tc>
        <w:tc>
          <w:tcPr>
            <w:tcW w:w="616" w:type="pct"/>
            <w:tcBorders>
              <w:top w:val="nil"/>
              <w:left w:val="nil"/>
              <w:bottom w:val="single" w:sz="4" w:space="0" w:color="FFFFFF"/>
              <w:right w:val="single" w:sz="4" w:space="0" w:color="FFFFFF"/>
            </w:tcBorders>
            <w:shd w:val="clear" w:color="auto" w:fill="auto"/>
            <w:noWrap/>
            <w:vAlign w:val="center"/>
            <w:hideMark/>
          </w:tcPr>
          <w:p w14:paraId="6110B18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378,046</w:t>
            </w:r>
          </w:p>
        </w:tc>
        <w:tc>
          <w:tcPr>
            <w:tcW w:w="616" w:type="pct"/>
            <w:tcBorders>
              <w:top w:val="nil"/>
              <w:left w:val="nil"/>
              <w:bottom w:val="single" w:sz="4" w:space="0" w:color="FFFFFF"/>
              <w:right w:val="single" w:sz="4" w:space="0" w:color="FFFFFF"/>
            </w:tcBorders>
            <w:shd w:val="clear" w:color="auto" w:fill="auto"/>
            <w:noWrap/>
            <w:vAlign w:val="center"/>
            <w:hideMark/>
          </w:tcPr>
          <w:p w14:paraId="5878B44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422,561</w:t>
            </w:r>
          </w:p>
        </w:tc>
        <w:tc>
          <w:tcPr>
            <w:tcW w:w="613" w:type="pct"/>
            <w:tcBorders>
              <w:top w:val="nil"/>
              <w:left w:val="nil"/>
              <w:bottom w:val="single" w:sz="4" w:space="0" w:color="FFFFFF"/>
              <w:right w:val="single" w:sz="4" w:space="0" w:color="FFFFFF"/>
            </w:tcBorders>
            <w:shd w:val="clear" w:color="auto" w:fill="auto"/>
            <w:noWrap/>
            <w:vAlign w:val="center"/>
            <w:hideMark/>
          </w:tcPr>
          <w:p w14:paraId="29A824BD" w14:textId="6D9CB9C8"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349,</w:t>
            </w:r>
            <w:r w:rsidR="00526E98" w:rsidRPr="0011239F">
              <w:rPr>
                <w:rFonts w:ascii="Arial" w:hAnsi="Arial" w:cs="Arial"/>
                <w:color w:val="000000"/>
                <w:sz w:val="18"/>
                <w:szCs w:val="18"/>
                <w:lang w:eastAsia="en-AU"/>
              </w:rPr>
              <w:t>233</w:t>
            </w:r>
          </w:p>
        </w:tc>
      </w:tr>
      <w:tr w:rsidR="007940B2" w:rsidRPr="0011239F" w14:paraId="36766BAE" w14:textId="77777777" w:rsidTr="003C6E9F">
        <w:trPr>
          <w:trHeight w:val="225"/>
        </w:trPr>
        <w:tc>
          <w:tcPr>
            <w:tcW w:w="3155" w:type="pct"/>
            <w:tcBorders>
              <w:top w:val="nil"/>
              <w:left w:val="single" w:sz="4" w:space="0" w:color="FFFFFF"/>
              <w:bottom w:val="nil"/>
              <w:right w:val="single" w:sz="4" w:space="0" w:color="FFFFFF"/>
            </w:tcBorders>
            <w:shd w:val="clear" w:color="auto" w:fill="auto"/>
            <w:noWrap/>
            <w:vAlign w:val="center"/>
            <w:hideMark/>
          </w:tcPr>
          <w:p w14:paraId="487788B5"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Receipts</w:t>
            </w:r>
          </w:p>
        </w:tc>
        <w:tc>
          <w:tcPr>
            <w:tcW w:w="616" w:type="pct"/>
            <w:tcBorders>
              <w:top w:val="nil"/>
              <w:left w:val="nil"/>
              <w:bottom w:val="nil"/>
              <w:right w:val="single" w:sz="4" w:space="0" w:color="FFFFFF"/>
            </w:tcBorders>
            <w:shd w:val="clear" w:color="auto" w:fill="auto"/>
            <w:noWrap/>
            <w:vAlign w:val="center"/>
            <w:hideMark/>
          </w:tcPr>
          <w:p w14:paraId="2CC4649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312,110</w:t>
            </w:r>
          </w:p>
        </w:tc>
        <w:tc>
          <w:tcPr>
            <w:tcW w:w="616" w:type="pct"/>
            <w:tcBorders>
              <w:top w:val="nil"/>
              <w:left w:val="nil"/>
              <w:bottom w:val="nil"/>
              <w:right w:val="single" w:sz="4" w:space="0" w:color="FFFFFF"/>
            </w:tcBorders>
            <w:shd w:val="clear" w:color="auto" w:fill="auto"/>
            <w:noWrap/>
            <w:vAlign w:val="center"/>
            <w:hideMark/>
          </w:tcPr>
          <w:p w14:paraId="0553D0B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322,703</w:t>
            </w:r>
          </w:p>
        </w:tc>
        <w:tc>
          <w:tcPr>
            <w:tcW w:w="613" w:type="pct"/>
            <w:tcBorders>
              <w:top w:val="nil"/>
              <w:left w:val="nil"/>
              <w:bottom w:val="nil"/>
              <w:right w:val="single" w:sz="4" w:space="0" w:color="FFFFFF"/>
            </w:tcBorders>
            <w:shd w:val="clear" w:color="auto" w:fill="auto"/>
            <w:noWrap/>
            <w:vAlign w:val="center"/>
            <w:hideMark/>
          </w:tcPr>
          <w:p w14:paraId="7B7AF0D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321,087</w:t>
            </w:r>
          </w:p>
        </w:tc>
      </w:tr>
      <w:tr w:rsidR="007940B2" w:rsidRPr="0011239F" w14:paraId="48CD20B6" w14:textId="77777777" w:rsidTr="00A11350">
        <w:trPr>
          <w:trHeight w:val="340"/>
        </w:trPr>
        <w:tc>
          <w:tcPr>
            <w:tcW w:w="315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80DCA8C" w14:textId="77777777" w:rsidR="007940B2" w:rsidRPr="0011239F" w:rsidRDefault="007940B2" w:rsidP="003C6E9F">
            <w:pPr>
              <w:ind w:firstLineChars="100" w:firstLine="181"/>
              <w:rPr>
                <w:rFonts w:ascii="Arial" w:hAnsi="Arial" w:cs="Arial"/>
                <w:b/>
                <w:bCs/>
                <w:color w:val="25A9E1"/>
                <w:sz w:val="18"/>
                <w:szCs w:val="18"/>
                <w:lang w:eastAsia="en-AU"/>
              </w:rPr>
            </w:pPr>
            <w:r w:rsidRPr="0011239F">
              <w:rPr>
                <w:rFonts w:ascii="Arial" w:hAnsi="Arial" w:cs="Arial"/>
                <w:b/>
                <w:bCs/>
                <w:color w:val="25A9E1"/>
                <w:sz w:val="18"/>
                <w:szCs w:val="18"/>
                <w:lang w:eastAsia="en-AU"/>
              </w:rPr>
              <w:t>Total Receipts</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442062FB"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16,061,590</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2982166B"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15,884,850</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7EA2DB89" w14:textId="13524303"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19,</w:t>
            </w:r>
            <w:r w:rsidR="00AD6BD0" w:rsidRPr="0011239F">
              <w:rPr>
                <w:rFonts w:ascii="Arial" w:hAnsi="Arial" w:cs="Arial"/>
                <w:b/>
                <w:bCs/>
                <w:color w:val="25A9E1"/>
                <w:sz w:val="18"/>
                <w:szCs w:val="18"/>
                <w:lang w:eastAsia="en-AU"/>
              </w:rPr>
              <w:t>417,501</w:t>
            </w:r>
          </w:p>
        </w:tc>
      </w:tr>
      <w:tr w:rsidR="007940B2" w:rsidRPr="0011239F" w14:paraId="029DB2F3" w14:textId="77777777" w:rsidTr="00A11350">
        <w:trPr>
          <w:trHeight w:val="340"/>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006CCF65"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Operating Activities</w:t>
            </w:r>
          </w:p>
        </w:tc>
        <w:tc>
          <w:tcPr>
            <w:tcW w:w="616" w:type="pct"/>
            <w:tcBorders>
              <w:top w:val="nil"/>
              <w:left w:val="nil"/>
              <w:bottom w:val="single" w:sz="4" w:space="0" w:color="auto"/>
              <w:right w:val="single" w:sz="4" w:space="0" w:color="FFFFFF"/>
            </w:tcBorders>
            <w:shd w:val="clear" w:color="auto" w:fill="auto"/>
            <w:noWrap/>
            <w:vAlign w:val="center"/>
            <w:hideMark/>
          </w:tcPr>
          <w:p w14:paraId="695D110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1,213,366</w:t>
            </w:r>
          </w:p>
        </w:tc>
        <w:tc>
          <w:tcPr>
            <w:tcW w:w="616" w:type="pct"/>
            <w:tcBorders>
              <w:top w:val="nil"/>
              <w:left w:val="nil"/>
              <w:bottom w:val="single" w:sz="4" w:space="0" w:color="auto"/>
              <w:right w:val="single" w:sz="4" w:space="0" w:color="FFFFFF"/>
            </w:tcBorders>
            <w:shd w:val="clear" w:color="auto" w:fill="auto"/>
            <w:noWrap/>
            <w:vAlign w:val="center"/>
            <w:hideMark/>
          </w:tcPr>
          <w:p w14:paraId="32635AB7" w14:textId="30901908" w:rsidR="007940B2" w:rsidRPr="0011239F" w:rsidRDefault="00526E98"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1,507,624</w:t>
            </w:r>
          </w:p>
        </w:tc>
        <w:tc>
          <w:tcPr>
            <w:tcW w:w="613" w:type="pct"/>
            <w:tcBorders>
              <w:top w:val="nil"/>
              <w:left w:val="nil"/>
              <w:bottom w:val="single" w:sz="4" w:space="0" w:color="auto"/>
              <w:right w:val="single" w:sz="4" w:space="0" w:color="FFFFFF"/>
            </w:tcBorders>
            <w:shd w:val="clear" w:color="auto" w:fill="auto"/>
            <w:noWrap/>
            <w:vAlign w:val="center"/>
            <w:hideMark/>
          </w:tcPr>
          <w:p w14:paraId="289BF89F"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2,110,440</w:t>
            </w:r>
          </w:p>
        </w:tc>
      </w:tr>
      <w:tr w:rsidR="007940B2" w:rsidRPr="0011239F" w14:paraId="50754F32"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6E6B6D1"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Investing Activities</w:t>
            </w:r>
          </w:p>
        </w:tc>
        <w:tc>
          <w:tcPr>
            <w:tcW w:w="616" w:type="pct"/>
            <w:tcBorders>
              <w:top w:val="nil"/>
              <w:left w:val="nil"/>
              <w:bottom w:val="single" w:sz="4" w:space="0" w:color="FFFFFF"/>
              <w:right w:val="single" w:sz="4" w:space="0" w:color="FFFFFF"/>
            </w:tcBorders>
            <w:shd w:val="clear" w:color="auto" w:fill="auto"/>
            <w:noWrap/>
            <w:vAlign w:val="center"/>
            <w:hideMark/>
          </w:tcPr>
          <w:p w14:paraId="0C00660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nil"/>
              <w:left w:val="nil"/>
              <w:bottom w:val="single" w:sz="4" w:space="0" w:color="FFFFFF"/>
              <w:right w:val="single" w:sz="4" w:space="0" w:color="FFFFFF"/>
            </w:tcBorders>
            <w:shd w:val="clear" w:color="auto" w:fill="auto"/>
            <w:noWrap/>
            <w:vAlign w:val="center"/>
            <w:hideMark/>
          </w:tcPr>
          <w:p w14:paraId="06567C3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3EE774B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4944FEDD"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3F6C0C4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Sale of Property, Plant and Equipment</w:t>
            </w:r>
          </w:p>
        </w:tc>
        <w:tc>
          <w:tcPr>
            <w:tcW w:w="616" w:type="pct"/>
            <w:tcBorders>
              <w:top w:val="nil"/>
              <w:left w:val="nil"/>
              <w:bottom w:val="single" w:sz="4" w:space="0" w:color="FFFFFF"/>
              <w:right w:val="single" w:sz="4" w:space="0" w:color="FFFFFF"/>
            </w:tcBorders>
            <w:shd w:val="clear" w:color="auto" w:fill="auto"/>
            <w:noWrap/>
            <w:vAlign w:val="center"/>
            <w:hideMark/>
          </w:tcPr>
          <w:p w14:paraId="2F1FD4D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275,457</w:t>
            </w:r>
          </w:p>
        </w:tc>
        <w:tc>
          <w:tcPr>
            <w:tcW w:w="616" w:type="pct"/>
            <w:tcBorders>
              <w:top w:val="nil"/>
              <w:left w:val="nil"/>
              <w:bottom w:val="single" w:sz="4" w:space="0" w:color="FFFFFF"/>
              <w:right w:val="single" w:sz="4" w:space="0" w:color="FFFFFF"/>
            </w:tcBorders>
            <w:shd w:val="clear" w:color="auto" w:fill="auto"/>
            <w:noWrap/>
            <w:vAlign w:val="center"/>
            <w:hideMark/>
          </w:tcPr>
          <w:p w14:paraId="7334F5C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640</w:t>
            </w:r>
          </w:p>
        </w:tc>
        <w:tc>
          <w:tcPr>
            <w:tcW w:w="613" w:type="pct"/>
            <w:tcBorders>
              <w:top w:val="nil"/>
              <w:left w:val="nil"/>
              <w:bottom w:val="single" w:sz="4" w:space="0" w:color="FFFFFF"/>
              <w:right w:val="single" w:sz="4" w:space="0" w:color="FFFFFF"/>
            </w:tcBorders>
            <w:shd w:val="clear" w:color="auto" w:fill="auto"/>
            <w:noWrap/>
            <w:vAlign w:val="center"/>
            <w:hideMark/>
          </w:tcPr>
          <w:p w14:paraId="51C68E1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295,112</w:t>
            </w:r>
          </w:p>
        </w:tc>
      </w:tr>
      <w:tr w:rsidR="007940B2" w:rsidRPr="0011239F" w14:paraId="57788D0B"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6F2323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Purchases of Property, Plant and Equipment</w:t>
            </w:r>
          </w:p>
        </w:tc>
        <w:tc>
          <w:tcPr>
            <w:tcW w:w="616" w:type="pct"/>
            <w:tcBorders>
              <w:top w:val="nil"/>
              <w:left w:val="nil"/>
              <w:bottom w:val="single" w:sz="4" w:space="0" w:color="FFFFFF"/>
              <w:right w:val="single" w:sz="4" w:space="0" w:color="FFFFFF"/>
            </w:tcBorders>
            <w:shd w:val="clear" w:color="auto" w:fill="auto"/>
            <w:noWrap/>
            <w:vAlign w:val="center"/>
            <w:hideMark/>
          </w:tcPr>
          <w:p w14:paraId="447D17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(1,611,924)</w:t>
            </w:r>
          </w:p>
        </w:tc>
        <w:tc>
          <w:tcPr>
            <w:tcW w:w="616" w:type="pct"/>
            <w:tcBorders>
              <w:top w:val="nil"/>
              <w:left w:val="nil"/>
              <w:bottom w:val="single" w:sz="4" w:space="0" w:color="FFFFFF"/>
              <w:right w:val="single" w:sz="4" w:space="0" w:color="FFFFFF"/>
            </w:tcBorders>
            <w:shd w:val="clear" w:color="auto" w:fill="auto"/>
            <w:noWrap/>
            <w:vAlign w:val="center"/>
            <w:hideMark/>
          </w:tcPr>
          <w:p w14:paraId="0E092F7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(1,674,480)</w:t>
            </w:r>
          </w:p>
        </w:tc>
        <w:tc>
          <w:tcPr>
            <w:tcW w:w="613" w:type="pct"/>
            <w:tcBorders>
              <w:top w:val="nil"/>
              <w:left w:val="nil"/>
              <w:bottom w:val="single" w:sz="4" w:space="0" w:color="FFFFFF"/>
              <w:right w:val="single" w:sz="4" w:space="0" w:color="FFFFFF"/>
            </w:tcBorders>
            <w:shd w:val="clear" w:color="auto" w:fill="auto"/>
            <w:noWrap/>
            <w:vAlign w:val="center"/>
            <w:hideMark/>
          </w:tcPr>
          <w:p w14:paraId="116E81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(2,225,480)</w:t>
            </w:r>
          </w:p>
        </w:tc>
      </w:tr>
      <w:tr w:rsidR="007940B2" w:rsidRPr="0011239F" w14:paraId="003B1761"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46C7BAB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Sale of Investments</w:t>
            </w:r>
          </w:p>
        </w:tc>
        <w:tc>
          <w:tcPr>
            <w:tcW w:w="616" w:type="pct"/>
            <w:tcBorders>
              <w:top w:val="nil"/>
              <w:left w:val="nil"/>
              <w:bottom w:val="single" w:sz="4" w:space="0" w:color="FFFFFF"/>
              <w:right w:val="single" w:sz="4" w:space="0" w:color="FFFFFF"/>
            </w:tcBorders>
            <w:shd w:val="clear" w:color="auto" w:fill="auto"/>
            <w:noWrap/>
            <w:vAlign w:val="center"/>
            <w:hideMark/>
          </w:tcPr>
          <w:p w14:paraId="7752982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36A5022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350DCF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3C916FA"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5FC97B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Purchases of Investments</w:t>
            </w:r>
          </w:p>
        </w:tc>
        <w:tc>
          <w:tcPr>
            <w:tcW w:w="616" w:type="pct"/>
            <w:tcBorders>
              <w:top w:val="nil"/>
              <w:left w:val="nil"/>
              <w:bottom w:val="single" w:sz="4" w:space="0" w:color="FFFFFF"/>
              <w:right w:val="single" w:sz="4" w:space="0" w:color="FFFFFF"/>
            </w:tcBorders>
            <w:shd w:val="clear" w:color="auto" w:fill="auto"/>
            <w:noWrap/>
            <w:vAlign w:val="center"/>
            <w:hideMark/>
          </w:tcPr>
          <w:p w14:paraId="7655192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39B2D4F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CA0116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87C826D"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4835E3F"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Advances Repayments Received</w:t>
            </w:r>
          </w:p>
        </w:tc>
        <w:tc>
          <w:tcPr>
            <w:tcW w:w="616" w:type="pct"/>
            <w:tcBorders>
              <w:top w:val="nil"/>
              <w:left w:val="nil"/>
              <w:bottom w:val="single" w:sz="4" w:space="0" w:color="FFFFFF"/>
              <w:right w:val="single" w:sz="4" w:space="0" w:color="FFFFFF"/>
            </w:tcBorders>
            <w:shd w:val="clear" w:color="auto" w:fill="auto"/>
            <w:noWrap/>
            <w:vAlign w:val="center"/>
            <w:hideMark/>
          </w:tcPr>
          <w:p w14:paraId="0EC3602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784D1DD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417DF71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ACFA1F9"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BA43FFF"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Advances made</w:t>
            </w:r>
          </w:p>
        </w:tc>
        <w:tc>
          <w:tcPr>
            <w:tcW w:w="616" w:type="pct"/>
            <w:tcBorders>
              <w:top w:val="nil"/>
              <w:left w:val="nil"/>
              <w:bottom w:val="single" w:sz="4" w:space="0" w:color="FFFFFF"/>
              <w:right w:val="single" w:sz="4" w:space="0" w:color="FFFFFF"/>
            </w:tcBorders>
            <w:shd w:val="clear" w:color="auto" w:fill="auto"/>
            <w:noWrap/>
            <w:vAlign w:val="center"/>
            <w:hideMark/>
          </w:tcPr>
          <w:p w14:paraId="673826E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7038485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A3C6A8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D136162" w14:textId="77777777" w:rsidTr="003C6E9F">
        <w:trPr>
          <w:trHeight w:val="225"/>
        </w:trPr>
        <w:tc>
          <w:tcPr>
            <w:tcW w:w="3155" w:type="pct"/>
            <w:tcBorders>
              <w:top w:val="nil"/>
              <w:left w:val="single" w:sz="4" w:space="0" w:color="FFFFFF"/>
              <w:bottom w:val="nil"/>
              <w:right w:val="single" w:sz="4" w:space="0" w:color="FFFFFF"/>
            </w:tcBorders>
            <w:shd w:val="clear" w:color="auto" w:fill="auto"/>
            <w:noWrap/>
            <w:vAlign w:val="center"/>
            <w:hideMark/>
          </w:tcPr>
          <w:p w14:paraId="4A859AA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Investing</w:t>
            </w:r>
          </w:p>
        </w:tc>
        <w:tc>
          <w:tcPr>
            <w:tcW w:w="616" w:type="pct"/>
            <w:tcBorders>
              <w:top w:val="nil"/>
              <w:left w:val="nil"/>
              <w:bottom w:val="nil"/>
              <w:right w:val="single" w:sz="4" w:space="0" w:color="FFFFFF"/>
            </w:tcBorders>
            <w:shd w:val="clear" w:color="auto" w:fill="auto"/>
            <w:noWrap/>
            <w:vAlign w:val="center"/>
            <w:hideMark/>
          </w:tcPr>
          <w:p w14:paraId="028A162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nil"/>
              <w:right w:val="single" w:sz="4" w:space="0" w:color="FFFFFF"/>
            </w:tcBorders>
            <w:shd w:val="clear" w:color="auto" w:fill="auto"/>
            <w:noWrap/>
            <w:vAlign w:val="center"/>
            <w:hideMark/>
          </w:tcPr>
          <w:p w14:paraId="06801C07" w14:textId="231D06A0" w:rsidR="007940B2" w:rsidRPr="0011239F" w:rsidRDefault="00130384"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nil"/>
              <w:right w:val="single" w:sz="4" w:space="0" w:color="FFFFFF"/>
            </w:tcBorders>
            <w:shd w:val="clear" w:color="auto" w:fill="auto"/>
            <w:noWrap/>
            <w:vAlign w:val="center"/>
            <w:hideMark/>
          </w:tcPr>
          <w:p w14:paraId="7BBFEDD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39D02D4" w14:textId="77777777" w:rsidTr="005920E4">
        <w:trPr>
          <w:trHeight w:val="340"/>
        </w:trPr>
        <w:tc>
          <w:tcPr>
            <w:tcW w:w="315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3B8B9789"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Investing Activities</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75413FAD"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(1,336,467)</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6334D90A"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(1,673,840)</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7D7744F2"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(1,930,368)</w:t>
            </w:r>
          </w:p>
        </w:tc>
      </w:tr>
      <w:tr w:rsidR="007940B2" w:rsidRPr="0011239F" w14:paraId="1CA8BF24"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982763B"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Financing Activities</w:t>
            </w:r>
          </w:p>
        </w:tc>
        <w:tc>
          <w:tcPr>
            <w:tcW w:w="616" w:type="pct"/>
            <w:tcBorders>
              <w:top w:val="nil"/>
              <w:left w:val="nil"/>
              <w:bottom w:val="single" w:sz="4" w:space="0" w:color="FFFFFF"/>
              <w:right w:val="single" w:sz="4" w:space="0" w:color="FFFFFF"/>
            </w:tcBorders>
            <w:shd w:val="clear" w:color="auto" w:fill="auto"/>
            <w:noWrap/>
            <w:vAlign w:val="center"/>
            <w:hideMark/>
          </w:tcPr>
          <w:p w14:paraId="3CFE688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nil"/>
              <w:left w:val="nil"/>
              <w:bottom w:val="single" w:sz="4" w:space="0" w:color="FFFFFF"/>
              <w:right w:val="single" w:sz="4" w:space="0" w:color="FFFFFF"/>
            </w:tcBorders>
            <w:shd w:val="clear" w:color="auto" w:fill="auto"/>
            <w:noWrap/>
            <w:vAlign w:val="center"/>
            <w:hideMark/>
          </w:tcPr>
          <w:p w14:paraId="06FD24F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387FDF5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28BFD9F9"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0B97F1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Borrowings and Advances</w:t>
            </w:r>
          </w:p>
        </w:tc>
        <w:tc>
          <w:tcPr>
            <w:tcW w:w="616" w:type="pct"/>
            <w:tcBorders>
              <w:top w:val="nil"/>
              <w:left w:val="nil"/>
              <w:bottom w:val="single" w:sz="4" w:space="0" w:color="FFFFFF"/>
              <w:right w:val="single" w:sz="4" w:space="0" w:color="FFFFFF"/>
            </w:tcBorders>
            <w:shd w:val="clear" w:color="auto" w:fill="auto"/>
            <w:noWrap/>
            <w:vAlign w:val="center"/>
            <w:hideMark/>
          </w:tcPr>
          <w:p w14:paraId="374CE22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B8DD63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B604EE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703633B"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319E81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Repayment of Borrowings and Advances</w:t>
            </w:r>
          </w:p>
        </w:tc>
        <w:tc>
          <w:tcPr>
            <w:tcW w:w="616" w:type="pct"/>
            <w:tcBorders>
              <w:top w:val="nil"/>
              <w:left w:val="nil"/>
              <w:bottom w:val="single" w:sz="4" w:space="0" w:color="FFFFFF"/>
              <w:right w:val="single" w:sz="4" w:space="0" w:color="FFFFFF"/>
            </w:tcBorders>
            <w:shd w:val="clear" w:color="auto" w:fill="auto"/>
            <w:noWrap/>
            <w:vAlign w:val="center"/>
            <w:hideMark/>
          </w:tcPr>
          <w:p w14:paraId="73E8C05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(6,965)</w:t>
            </w:r>
          </w:p>
        </w:tc>
        <w:tc>
          <w:tcPr>
            <w:tcW w:w="616" w:type="pct"/>
            <w:tcBorders>
              <w:top w:val="nil"/>
              <w:left w:val="nil"/>
              <w:bottom w:val="single" w:sz="4" w:space="0" w:color="FFFFFF"/>
              <w:right w:val="single" w:sz="4" w:space="0" w:color="FFFFFF"/>
            </w:tcBorders>
            <w:shd w:val="clear" w:color="auto" w:fill="auto"/>
            <w:noWrap/>
            <w:vAlign w:val="center"/>
            <w:hideMark/>
          </w:tcPr>
          <w:p w14:paraId="4328E171" w14:textId="2B93DCE0"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r w:rsidR="00130384" w:rsidRPr="0011239F">
              <w:rPr>
                <w:rFonts w:ascii="Arial" w:hAnsi="Arial" w:cs="Arial"/>
                <w:color w:val="000000"/>
                <w:sz w:val="18"/>
                <w:szCs w:val="18"/>
                <w:lang w:eastAsia="en-AU"/>
              </w:rPr>
              <w:t>6,961</w:t>
            </w: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25D794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(42,338)</w:t>
            </w:r>
          </w:p>
        </w:tc>
      </w:tr>
      <w:tr w:rsidR="007940B2" w:rsidRPr="0011239F" w14:paraId="6D9441B6"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4802834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Dividends Paid</w:t>
            </w:r>
          </w:p>
        </w:tc>
        <w:tc>
          <w:tcPr>
            <w:tcW w:w="616" w:type="pct"/>
            <w:tcBorders>
              <w:top w:val="nil"/>
              <w:left w:val="nil"/>
              <w:bottom w:val="single" w:sz="4" w:space="0" w:color="FFFFFF"/>
              <w:right w:val="single" w:sz="4" w:space="0" w:color="FFFFFF"/>
            </w:tcBorders>
            <w:shd w:val="clear" w:color="auto" w:fill="auto"/>
            <w:noWrap/>
            <w:vAlign w:val="center"/>
            <w:hideMark/>
          </w:tcPr>
          <w:p w14:paraId="237256F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748003D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E2070C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7B47326"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BA9C9D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Financing</w:t>
            </w:r>
          </w:p>
        </w:tc>
        <w:tc>
          <w:tcPr>
            <w:tcW w:w="616" w:type="pct"/>
            <w:tcBorders>
              <w:top w:val="nil"/>
              <w:left w:val="nil"/>
              <w:bottom w:val="single" w:sz="4" w:space="0" w:color="FFFFFF"/>
              <w:right w:val="single" w:sz="4" w:space="0" w:color="FFFFFF"/>
            </w:tcBorders>
            <w:shd w:val="clear" w:color="auto" w:fill="auto"/>
            <w:noWrap/>
            <w:vAlign w:val="center"/>
            <w:hideMark/>
          </w:tcPr>
          <w:p w14:paraId="6BB13E8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09B7CF6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B9B811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B754778"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0B2555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Capital Appropriation - Equity Appropriation</w:t>
            </w:r>
          </w:p>
        </w:tc>
        <w:tc>
          <w:tcPr>
            <w:tcW w:w="616" w:type="pct"/>
            <w:tcBorders>
              <w:top w:val="nil"/>
              <w:left w:val="nil"/>
              <w:bottom w:val="single" w:sz="4" w:space="0" w:color="FFFFFF"/>
              <w:right w:val="single" w:sz="4" w:space="0" w:color="FFFFFF"/>
            </w:tcBorders>
            <w:shd w:val="clear" w:color="auto" w:fill="auto"/>
            <w:noWrap/>
            <w:vAlign w:val="center"/>
            <w:hideMark/>
          </w:tcPr>
          <w:p w14:paraId="0480D0F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5CDD25A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AF9C7D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B682C3E" w14:textId="77777777" w:rsidTr="003C6E9F">
        <w:trPr>
          <w:trHeight w:val="225"/>
        </w:trPr>
        <w:tc>
          <w:tcPr>
            <w:tcW w:w="3155" w:type="pct"/>
            <w:tcBorders>
              <w:top w:val="nil"/>
              <w:left w:val="single" w:sz="4" w:space="0" w:color="FFFFFF"/>
              <w:bottom w:val="nil"/>
              <w:right w:val="single" w:sz="4" w:space="0" w:color="FFFFFF"/>
            </w:tcBorders>
            <w:shd w:val="clear" w:color="auto" w:fill="auto"/>
            <w:noWrap/>
            <w:vAlign w:val="center"/>
            <w:hideMark/>
          </w:tcPr>
          <w:p w14:paraId="6D43ACC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Cash Equity Injection to For-Profit Entities</w:t>
            </w:r>
          </w:p>
        </w:tc>
        <w:tc>
          <w:tcPr>
            <w:tcW w:w="616" w:type="pct"/>
            <w:tcBorders>
              <w:top w:val="nil"/>
              <w:left w:val="nil"/>
              <w:bottom w:val="nil"/>
              <w:right w:val="single" w:sz="4" w:space="0" w:color="FFFFFF"/>
            </w:tcBorders>
            <w:shd w:val="clear" w:color="auto" w:fill="auto"/>
            <w:noWrap/>
            <w:vAlign w:val="center"/>
            <w:hideMark/>
          </w:tcPr>
          <w:p w14:paraId="5848DEA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nil"/>
              <w:right w:val="single" w:sz="4" w:space="0" w:color="FFFFFF"/>
            </w:tcBorders>
            <w:shd w:val="clear" w:color="auto" w:fill="auto"/>
            <w:noWrap/>
            <w:vAlign w:val="center"/>
            <w:hideMark/>
          </w:tcPr>
          <w:p w14:paraId="7E92B70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nil"/>
              <w:right w:val="single" w:sz="4" w:space="0" w:color="FFFFFF"/>
            </w:tcBorders>
            <w:shd w:val="clear" w:color="auto" w:fill="auto"/>
            <w:noWrap/>
            <w:vAlign w:val="center"/>
            <w:hideMark/>
          </w:tcPr>
          <w:p w14:paraId="5D85A71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D8A3076" w14:textId="77777777" w:rsidTr="00A11350">
        <w:trPr>
          <w:trHeight w:val="340"/>
        </w:trPr>
        <w:tc>
          <w:tcPr>
            <w:tcW w:w="315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6762F47"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Financing Activities</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4F0067DF"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(6,965)</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5D9DAEE0" w14:textId="628D526B"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w:t>
            </w:r>
            <w:r w:rsidR="00130384" w:rsidRPr="0011239F">
              <w:rPr>
                <w:rFonts w:ascii="Arial" w:hAnsi="Arial" w:cs="Arial"/>
                <w:b/>
                <w:bCs/>
                <w:color w:val="25A9E1"/>
                <w:sz w:val="18"/>
                <w:szCs w:val="18"/>
                <w:lang w:eastAsia="en-AU"/>
              </w:rPr>
              <w:t>6,961</w:t>
            </w:r>
            <w:r w:rsidRPr="0011239F">
              <w:rPr>
                <w:rFonts w:ascii="Arial" w:hAnsi="Arial" w:cs="Arial"/>
                <w:b/>
                <w:bCs/>
                <w:color w:val="25A9E1"/>
                <w:sz w:val="18"/>
                <w:szCs w:val="18"/>
                <w:lang w:eastAsia="en-AU"/>
              </w:rPr>
              <w:t>)</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054AB18D"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(42,338)</w:t>
            </w:r>
          </w:p>
        </w:tc>
      </w:tr>
      <w:tr w:rsidR="007940B2" w:rsidRPr="0011239F" w14:paraId="38582F48" w14:textId="77777777" w:rsidTr="00A11350">
        <w:trPr>
          <w:trHeight w:val="340"/>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5971E839"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Net Increase/(Decrease) in Cash</w:t>
            </w:r>
          </w:p>
        </w:tc>
        <w:tc>
          <w:tcPr>
            <w:tcW w:w="616" w:type="pct"/>
            <w:tcBorders>
              <w:top w:val="nil"/>
              <w:left w:val="nil"/>
              <w:bottom w:val="single" w:sz="4" w:space="0" w:color="auto"/>
              <w:right w:val="single" w:sz="4" w:space="0" w:color="FFFFFF"/>
            </w:tcBorders>
            <w:shd w:val="clear" w:color="auto" w:fill="auto"/>
            <w:noWrap/>
            <w:vAlign w:val="center"/>
            <w:hideMark/>
          </w:tcPr>
          <w:p w14:paraId="01E6A5E2"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(130,066)</w:t>
            </w:r>
          </w:p>
        </w:tc>
        <w:tc>
          <w:tcPr>
            <w:tcW w:w="616" w:type="pct"/>
            <w:tcBorders>
              <w:top w:val="nil"/>
              <w:left w:val="nil"/>
              <w:bottom w:val="single" w:sz="4" w:space="0" w:color="auto"/>
              <w:right w:val="single" w:sz="4" w:space="0" w:color="FFFFFF"/>
            </w:tcBorders>
            <w:shd w:val="clear" w:color="auto" w:fill="auto"/>
            <w:noWrap/>
            <w:vAlign w:val="center"/>
            <w:hideMark/>
          </w:tcPr>
          <w:p w14:paraId="0876740C" w14:textId="3ED7A211"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(173,177)</w:t>
            </w:r>
          </w:p>
        </w:tc>
        <w:tc>
          <w:tcPr>
            <w:tcW w:w="613" w:type="pct"/>
            <w:tcBorders>
              <w:top w:val="nil"/>
              <w:left w:val="nil"/>
              <w:bottom w:val="single" w:sz="4" w:space="0" w:color="auto"/>
              <w:right w:val="single" w:sz="4" w:space="0" w:color="FFFFFF"/>
            </w:tcBorders>
            <w:shd w:val="clear" w:color="auto" w:fill="auto"/>
            <w:noWrap/>
            <w:vAlign w:val="center"/>
            <w:hideMark/>
          </w:tcPr>
          <w:p w14:paraId="434E9287"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137,734</w:t>
            </w:r>
          </w:p>
        </w:tc>
      </w:tr>
      <w:tr w:rsidR="007940B2" w:rsidRPr="0011239F" w14:paraId="412CA79E" w14:textId="77777777" w:rsidTr="003C6E9F">
        <w:trPr>
          <w:trHeight w:val="225"/>
        </w:trPr>
        <w:tc>
          <w:tcPr>
            <w:tcW w:w="3155" w:type="pct"/>
            <w:tcBorders>
              <w:top w:val="nil"/>
              <w:left w:val="single" w:sz="4" w:space="0" w:color="FFFFFF"/>
              <w:bottom w:val="nil"/>
              <w:right w:val="single" w:sz="4" w:space="0" w:color="FFFFFF"/>
            </w:tcBorders>
            <w:shd w:val="clear" w:color="auto" w:fill="auto"/>
            <w:noWrap/>
            <w:vAlign w:val="center"/>
            <w:hideMark/>
          </w:tcPr>
          <w:p w14:paraId="2A1ABD7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Opening Cash and Cash Equivalents</w:t>
            </w:r>
          </w:p>
        </w:tc>
        <w:tc>
          <w:tcPr>
            <w:tcW w:w="616" w:type="pct"/>
            <w:tcBorders>
              <w:top w:val="nil"/>
              <w:left w:val="nil"/>
              <w:bottom w:val="nil"/>
              <w:right w:val="single" w:sz="4" w:space="0" w:color="FFFFFF"/>
            </w:tcBorders>
            <w:shd w:val="clear" w:color="auto" w:fill="auto"/>
            <w:noWrap/>
            <w:vAlign w:val="center"/>
            <w:hideMark/>
          </w:tcPr>
          <w:p w14:paraId="5EE25B2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897,511</w:t>
            </w:r>
          </w:p>
        </w:tc>
        <w:tc>
          <w:tcPr>
            <w:tcW w:w="616" w:type="pct"/>
            <w:tcBorders>
              <w:top w:val="nil"/>
              <w:left w:val="nil"/>
              <w:bottom w:val="nil"/>
              <w:right w:val="single" w:sz="4" w:space="0" w:color="FFFFFF"/>
            </w:tcBorders>
            <w:shd w:val="clear" w:color="auto" w:fill="auto"/>
            <w:noWrap/>
            <w:vAlign w:val="center"/>
            <w:hideMark/>
          </w:tcPr>
          <w:p w14:paraId="2CD110B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928,153</w:t>
            </w:r>
          </w:p>
        </w:tc>
        <w:tc>
          <w:tcPr>
            <w:tcW w:w="613" w:type="pct"/>
            <w:tcBorders>
              <w:top w:val="nil"/>
              <w:left w:val="nil"/>
              <w:bottom w:val="nil"/>
              <w:right w:val="single" w:sz="4" w:space="0" w:color="FFFFFF"/>
            </w:tcBorders>
            <w:shd w:val="clear" w:color="auto" w:fill="auto"/>
            <w:noWrap/>
            <w:vAlign w:val="center"/>
            <w:hideMark/>
          </w:tcPr>
          <w:p w14:paraId="6B79F80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754,976</w:t>
            </w:r>
          </w:p>
        </w:tc>
      </w:tr>
      <w:tr w:rsidR="007940B2" w:rsidRPr="0011239F" w14:paraId="0F7D9F72" w14:textId="77777777" w:rsidTr="003C6E9F">
        <w:trPr>
          <w:trHeight w:val="225"/>
        </w:trPr>
        <w:tc>
          <w:tcPr>
            <w:tcW w:w="315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9271D1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Reclassification of Cash Equivalents</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1C94844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08A4629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2567859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755D665" w14:textId="77777777" w:rsidTr="003C6E9F">
        <w:trPr>
          <w:trHeight w:val="225"/>
        </w:trPr>
        <w:tc>
          <w:tcPr>
            <w:tcW w:w="3155" w:type="pct"/>
            <w:tcBorders>
              <w:top w:val="nil"/>
              <w:left w:val="single" w:sz="4" w:space="0" w:color="FFFFFF"/>
              <w:bottom w:val="nil"/>
              <w:right w:val="single" w:sz="4" w:space="0" w:color="FFFFFF"/>
            </w:tcBorders>
            <w:shd w:val="clear" w:color="auto" w:fill="auto"/>
            <w:vAlign w:val="center"/>
            <w:hideMark/>
          </w:tcPr>
          <w:p w14:paraId="615A8FD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Cash transferred in (out) </w:t>
            </w:r>
            <w:proofErr w:type="gramStart"/>
            <w:r w:rsidRPr="0011239F">
              <w:rPr>
                <w:rFonts w:ascii="Arial" w:hAnsi="Arial" w:cs="Arial"/>
                <w:color w:val="000000"/>
                <w:sz w:val="18"/>
                <w:szCs w:val="18"/>
                <w:lang w:eastAsia="en-AU"/>
              </w:rPr>
              <w:t>as a Result of</w:t>
            </w:r>
            <w:proofErr w:type="gramEnd"/>
            <w:r w:rsidRPr="0011239F">
              <w:rPr>
                <w:rFonts w:ascii="Arial" w:hAnsi="Arial" w:cs="Arial"/>
                <w:color w:val="000000"/>
                <w:sz w:val="18"/>
                <w:szCs w:val="18"/>
                <w:lang w:eastAsia="en-AU"/>
              </w:rPr>
              <w:t xml:space="preserve"> Administrative Restructuring</w:t>
            </w:r>
          </w:p>
        </w:tc>
        <w:tc>
          <w:tcPr>
            <w:tcW w:w="616" w:type="pct"/>
            <w:tcBorders>
              <w:top w:val="nil"/>
              <w:left w:val="nil"/>
              <w:bottom w:val="nil"/>
              <w:right w:val="single" w:sz="4" w:space="0" w:color="FFFFFF"/>
            </w:tcBorders>
            <w:shd w:val="clear" w:color="auto" w:fill="auto"/>
            <w:noWrap/>
            <w:vAlign w:val="center"/>
            <w:hideMark/>
          </w:tcPr>
          <w:p w14:paraId="6A4DD4A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nil"/>
              <w:right w:val="single" w:sz="4" w:space="0" w:color="FFFFFF"/>
            </w:tcBorders>
            <w:shd w:val="clear" w:color="auto" w:fill="auto"/>
            <w:noWrap/>
            <w:vAlign w:val="center"/>
            <w:hideMark/>
          </w:tcPr>
          <w:p w14:paraId="46E3A31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nil"/>
              <w:right w:val="single" w:sz="4" w:space="0" w:color="FFFFFF"/>
            </w:tcBorders>
            <w:shd w:val="clear" w:color="auto" w:fill="auto"/>
            <w:noWrap/>
            <w:vAlign w:val="center"/>
            <w:hideMark/>
          </w:tcPr>
          <w:p w14:paraId="25F4B1C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53E2BFB" w14:textId="77777777" w:rsidTr="00A11350">
        <w:trPr>
          <w:trHeight w:val="340"/>
        </w:trPr>
        <w:tc>
          <w:tcPr>
            <w:tcW w:w="315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30EC11F"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Closing Cash and Cash Equivalents</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1813B9B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767,445</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47C7D02F" w14:textId="71712CD5"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754,976</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578A71D7"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892,710</w:t>
            </w:r>
          </w:p>
        </w:tc>
      </w:tr>
    </w:tbl>
    <w:p w14:paraId="6D2A2515" w14:textId="77777777" w:rsidR="007940B2" w:rsidRPr="0011239F" w:rsidRDefault="007940B2" w:rsidP="00653655">
      <w:pPr>
        <w:pStyle w:val="ListParagraph"/>
        <w:spacing w:before="360"/>
        <w:ind w:left="405"/>
        <w:rPr>
          <w:rFonts w:cs="Arial"/>
        </w:rPr>
      </w:pPr>
    </w:p>
    <w:p w14:paraId="2A9FFD9B" w14:textId="77777777" w:rsidR="00E27C10" w:rsidRPr="0011239F" w:rsidRDefault="00E27C10" w:rsidP="007940B2">
      <w:pPr>
        <w:pStyle w:val="ListParagraph"/>
        <w:numPr>
          <w:ilvl w:val="0"/>
          <w:numId w:val="12"/>
        </w:numPr>
        <w:rPr>
          <w:rFonts w:cs="Arial"/>
        </w:rPr>
        <w:sectPr w:rsidR="00E27C10" w:rsidRPr="0011239F" w:rsidSect="00383B36">
          <w:headerReference w:type="even" r:id="rId22"/>
          <w:headerReference w:type="default" r:id="rId23"/>
          <w:headerReference w:type="first" r:id="rId24"/>
          <w:footerReference w:type="first" r:id="rId25"/>
          <w:pgSz w:w="11907" w:h="16840" w:code="9"/>
          <w:pgMar w:top="1134" w:right="1134" w:bottom="567" w:left="1134" w:header="454" w:footer="454" w:gutter="0"/>
          <w:cols w:space="720"/>
          <w:titlePg/>
          <w:docGrid w:linePitch="272"/>
        </w:sectPr>
      </w:pPr>
    </w:p>
    <w:p w14:paraId="3FE569AF" w14:textId="77777777" w:rsidR="007940B2" w:rsidRPr="0011239F" w:rsidRDefault="007940B2" w:rsidP="00DB3AC8">
      <w:pPr>
        <w:pStyle w:val="Heading3"/>
        <w:spacing w:before="0"/>
        <w:rPr>
          <w:rFonts w:cs="Arial"/>
        </w:rPr>
      </w:pPr>
      <w:r w:rsidRPr="0011239F">
        <w:rPr>
          <w:rFonts w:cs="Arial"/>
        </w:rPr>
        <w:lastRenderedPageBreak/>
        <w:t>NSW Education Standards Authority</w:t>
      </w:r>
    </w:p>
    <w:p w14:paraId="5F143258" w14:textId="77777777" w:rsidR="007940B2" w:rsidRPr="0011239F" w:rsidRDefault="007940B2" w:rsidP="00653655">
      <w:pPr>
        <w:pStyle w:val="Heading4"/>
        <w:rPr>
          <w:rFonts w:cs="Arial"/>
          <w:lang w:eastAsia="en-AU"/>
        </w:rPr>
      </w:pPr>
      <w:r w:rsidRPr="0011239F">
        <w:rPr>
          <w:rFonts w:cs="Arial"/>
          <w:lang w:eastAsia="en-AU"/>
        </w:rPr>
        <w:t>Operating Statement</w:t>
      </w:r>
    </w:p>
    <w:tbl>
      <w:tblPr>
        <w:tblW w:w="5015" w:type="pct"/>
        <w:tblLook w:val="04A0" w:firstRow="1" w:lastRow="0" w:firstColumn="1" w:lastColumn="0" w:noHBand="0" w:noVBand="1"/>
        <w:tblCaption w:val="NSW Education Standards Authority"/>
        <w:tblDescription w:val="NSW Education Standards Authority - Operating Statement"/>
      </w:tblPr>
      <w:tblGrid>
        <w:gridCol w:w="6101"/>
        <w:gridCol w:w="1191"/>
        <w:gridCol w:w="1191"/>
        <w:gridCol w:w="1185"/>
      </w:tblGrid>
      <w:tr w:rsidR="003C6E9F" w:rsidRPr="0011239F" w14:paraId="598E0CFD" w14:textId="77777777" w:rsidTr="003C6E9F">
        <w:trPr>
          <w:trHeight w:val="283"/>
        </w:trPr>
        <w:tc>
          <w:tcPr>
            <w:tcW w:w="3154" w:type="pct"/>
            <w:shd w:val="clear" w:color="auto" w:fill="00ABE6"/>
            <w:vAlign w:val="center"/>
            <w:hideMark/>
          </w:tcPr>
          <w:p w14:paraId="5B319842"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30" w:type="pct"/>
            <w:gridSpan w:val="2"/>
            <w:shd w:val="clear" w:color="auto" w:fill="00ABE6"/>
            <w:vAlign w:val="bottom"/>
            <w:hideMark/>
          </w:tcPr>
          <w:p w14:paraId="18AAFB4A"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3" w:type="pct"/>
            <w:shd w:val="clear" w:color="auto" w:fill="00ABE6"/>
            <w:vAlign w:val="bottom"/>
            <w:hideMark/>
          </w:tcPr>
          <w:p w14:paraId="7276FB27"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780BD4AC" w14:textId="77777777" w:rsidTr="003C6E9F">
        <w:trPr>
          <w:trHeight w:val="255"/>
        </w:trPr>
        <w:tc>
          <w:tcPr>
            <w:tcW w:w="3154" w:type="pct"/>
            <w:shd w:val="clear" w:color="auto" w:fill="00ABE6"/>
            <w:vAlign w:val="center"/>
            <w:hideMark/>
          </w:tcPr>
          <w:p w14:paraId="39952FA2"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4" w:type="pct"/>
            <w:shd w:val="clear" w:color="auto" w:fill="00ABE6"/>
            <w:vAlign w:val="center"/>
            <w:hideMark/>
          </w:tcPr>
          <w:p w14:paraId="2B513F02"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5" w:type="pct"/>
            <w:shd w:val="clear" w:color="auto" w:fill="00ABE6"/>
            <w:vAlign w:val="center"/>
            <w:hideMark/>
          </w:tcPr>
          <w:p w14:paraId="66EAEB71"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3" w:type="pct"/>
            <w:shd w:val="clear" w:color="auto" w:fill="00ABE6"/>
            <w:vAlign w:val="center"/>
            <w:hideMark/>
          </w:tcPr>
          <w:p w14:paraId="5D574556"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6AED3482" w14:textId="77777777" w:rsidTr="003C6E9F">
        <w:trPr>
          <w:trHeight w:val="238"/>
        </w:trPr>
        <w:tc>
          <w:tcPr>
            <w:tcW w:w="3154" w:type="pct"/>
            <w:shd w:val="clear" w:color="auto" w:fill="0A7CB9"/>
            <w:vAlign w:val="center"/>
            <w:hideMark/>
          </w:tcPr>
          <w:p w14:paraId="78EAC1EB"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4" w:type="pct"/>
            <w:shd w:val="clear" w:color="auto" w:fill="0A7CB9"/>
            <w:hideMark/>
          </w:tcPr>
          <w:p w14:paraId="611E42E3"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5" w:type="pct"/>
            <w:shd w:val="clear" w:color="auto" w:fill="0A7CB9"/>
            <w:hideMark/>
          </w:tcPr>
          <w:p w14:paraId="60F8FBAB"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3" w:type="pct"/>
            <w:shd w:val="clear" w:color="auto" w:fill="0A7CB9"/>
            <w:hideMark/>
          </w:tcPr>
          <w:p w14:paraId="4ADBBCF7"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542F2ADD" w14:textId="77777777" w:rsidTr="003C6E9F">
        <w:trPr>
          <w:trHeight w:val="225"/>
        </w:trPr>
        <w:tc>
          <w:tcPr>
            <w:tcW w:w="315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701941B"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Expenses Excluding Losses</w:t>
            </w:r>
          </w:p>
        </w:tc>
        <w:tc>
          <w:tcPr>
            <w:tcW w:w="616" w:type="pct"/>
            <w:tcBorders>
              <w:top w:val="single" w:sz="4" w:space="0" w:color="FFFFFF"/>
              <w:left w:val="nil"/>
              <w:bottom w:val="single" w:sz="4" w:space="0" w:color="FFFFFF"/>
              <w:right w:val="single" w:sz="4" w:space="0" w:color="FFFFFF"/>
            </w:tcBorders>
            <w:shd w:val="clear" w:color="auto" w:fill="auto"/>
            <w:noWrap/>
            <w:vAlign w:val="bottom"/>
            <w:hideMark/>
          </w:tcPr>
          <w:p w14:paraId="429BB51D"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single" w:sz="4" w:space="0" w:color="FFFFFF"/>
              <w:left w:val="nil"/>
              <w:bottom w:val="single" w:sz="4" w:space="0" w:color="FFFFFF"/>
              <w:right w:val="single" w:sz="4" w:space="0" w:color="FFFFFF"/>
            </w:tcBorders>
            <w:shd w:val="clear" w:color="auto" w:fill="auto"/>
            <w:noWrap/>
            <w:vAlign w:val="bottom"/>
            <w:hideMark/>
          </w:tcPr>
          <w:p w14:paraId="6A7FE330"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FFFFFF"/>
              <w:left w:val="nil"/>
              <w:bottom w:val="single" w:sz="4" w:space="0" w:color="FFFFFF"/>
              <w:right w:val="single" w:sz="4" w:space="0" w:color="FFFFFF"/>
            </w:tcBorders>
            <w:shd w:val="clear" w:color="auto" w:fill="auto"/>
            <w:noWrap/>
            <w:vAlign w:val="bottom"/>
            <w:hideMark/>
          </w:tcPr>
          <w:p w14:paraId="473B977B"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4D4FDCE4"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308C50AE"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Operating Expenses -</w:t>
            </w:r>
          </w:p>
        </w:tc>
        <w:tc>
          <w:tcPr>
            <w:tcW w:w="616" w:type="pct"/>
            <w:tcBorders>
              <w:top w:val="nil"/>
              <w:left w:val="nil"/>
              <w:bottom w:val="single" w:sz="4" w:space="0" w:color="FFFFFF"/>
              <w:right w:val="single" w:sz="4" w:space="0" w:color="FFFFFF"/>
            </w:tcBorders>
            <w:shd w:val="clear" w:color="auto" w:fill="auto"/>
            <w:noWrap/>
            <w:vAlign w:val="bottom"/>
            <w:hideMark/>
          </w:tcPr>
          <w:p w14:paraId="11FFE85F"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c>
          <w:tcPr>
            <w:tcW w:w="616" w:type="pct"/>
            <w:tcBorders>
              <w:top w:val="nil"/>
              <w:left w:val="nil"/>
              <w:bottom w:val="single" w:sz="4" w:space="0" w:color="FFFFFF"/>
              <w:right w:val="single" w:sz="4" w:space="0" w:color="FFFFFF"/>
            </w:tcBorders>
            <w:shd w:val="clear" w:color="auto" w:fill="auto"/>
            <w:noWrap/>
            <w:vAlign w:val="bottom"/>
            <w:hideMark/>
          </w:tcPr>
          <w:p w14:paraId="21825117"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1F6DAB43"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r>
      <w:tr w:rsidR="007940B2" w:rsidRPr="0011239F" w14:paraId="05E92167"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0BD9EF79"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Employee Related</w:t>
            </w:r>
          </w:p>
        </w:tc>
        <w:tc>
          <w:tcPr>
            <w:tcW w:w="616" w:type="pct"/>
            <w:tcBorders>
              <w:top w:val="nil"/>
              <w:left w:val="nil"/>
              <w:bottom w:val="single" w:sz="4" w:space="0" w:color="FFFFFF"/>
              <w:right w:val="single" w:sz="4" w:space="0" w:color="FFFFFF"/>
            </w:tcBorders>
            <w:shd w:val="clear" w:color="auto" w:fill="auto"/>
            <w:noWrap/>
            <w:vAlign w:val="center"/>
            <w:hideMark/>
          </w:tcPr>
          <w:p w14:paraId="42C4A3D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119,763</w:t>
            </w:r>
          </w:p>
        </w:tc>
        <w:tc>
          <w:tcPr>
            <w:tcW w:w="616" w:type="pct"/>
            <w:tcBorders>
              <w:top w:val="nil"/>
              <w:left w:val="nil"/>
              <w:bottom w:val="single" w:sz="4" w:space="0" w:color="FFFFFF"/>
              <w:right w:val="single" w:sz="4" w:space="0" w:color="FFFFFF"/>
            </w:tcBorders>
            <w:shd w:val="clear" w:color="auto" w:fill="auto"/>
            <w:noWrap/>
            <w:vAlign w:val="center"/>
            <w:hideMark/>
          </w:tcPr>
          <w:p w14:paraId="0CCF23E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120,617</w:t>
            </w:r>
          </w:p>
        </w:tc>
        <w:tc>
          <w:tcPr>
            <w:tcW w:w="613" w:type="pct"/>
            <w:tcBorders>
              <w:top w:val="nil"/>
              <w:left w:val="nil"/>
              <w:bottom w:val="single" w:sz="4" w:space="0" w:color="FFFFFF"/>
              <w:right w:val="single" w:sz="4" w:space="0" w:color="FFFFFF"/>
            </w:tcBorders>
            <w:shd w:val="clear" w:color="auto" w:fill="auto"/>
            <w:noWrap/>
            <w:vAlign w:val="center"/>
            <w:hideMark/>
          </w:tcPr>
          <w:p w14:paraId="01A083B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113,367</w:t>
            </w:r>
          </w:p>
        </w:tc>
      </w:tr>
      <w:tr w:rsidR="007940B2" w:rsidRPr="0011239F" w14:paraId="7FCE02C4"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5BB328CF"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Personnel Services Expenses</w:t>
            </w:r>
          </w:p>
        </w:tc>
        <w:tc>
          <w:tcPr>
            <w:tcW w:w="616" w:type="pct"/>
            <w:tcBorders>
              <w:top w:val="nil"/>
              <w:left w:val="nil"/>
              <w:bottom w:val="single" w:sz="4" w:space="0" w:color="FFFFFF"/>
              <w:right w:val="single" w:sz="4" w:space="0" w:color="FFFFFF"/>
            </w:tcBorders>
            <w:shd w:val="clear" w:color="auto" w:fill="auto"/>
            <w:noWrap/>
            <w:vAlign w:val="center"/>
            <w:hideMark/>
          </w:tcPr>
          <w:p w14:paraId="033181F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D53EFD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82508C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525AA65"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D4D28EB"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Operating Expenses</w:t>
            </w:r>
          </w:p>
        </w:tc>
        <w:tc>
          <w:tcPr>
            <w:tcW w:w="616" w:type="pct"/>
            <w:tcBorders>
              <w:top w:val="nil"/>
              <w:left w:val="nil"/>
              <w:bottom w:val="single" w:sz="4" w:space="0" w:color="FFFFFF"/>
              <w:right w:val="single" w:sz="4" w:space="0" w:color="FFFFFF"/>
            </w:tcBorders>
            <w:shd w:val="clear" w:color="auto" w:fill="auto"/>
            <w:noWrap/>
            <w:vAlign w:val="center"/>
            <w:hideMark/>
          </w:tcPr>
          <w:p w14:paraId="342781D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40,244</w:t>
            </w:r>
          </w:p>
        </w:tc>
        <w:tc>
          <w:tcPr>
            <w:tcW w:w="616" w:type="pct"/>
            <w:tcBorders>
              <w:top w:val="nil"/>
              <w:left w:val="nil"/>
              <w:bottom w:val="single" w:sz="4" w:space="0" w:color="FFFFFF"/>
              <w:right w:val="single" w:sz="4" w:space="0" w:color="FFFFFF"/>
            </w:tcBorders>
            <w:shd w:val="clear" w:color="auto" w:fill="auto"/>
            <w:noWrap/>
            <w:vAlign w:val="center"/>
            <w:hideMark/>
          </w:tcPr>
          <w:p w14:paraId="6AACA6A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50,277</w:t>
            </w:r>
          </w:p>
        </w:tc>
        <w:tc>
          <w:tcPr>
            <w:tcW w:w="613" w:type="pct"/>
            <w:tcBorders>
              <w:top w:val="nil"/>
              <w:left w:val="nil"/>
              <w:bottom w:val="single" w:sz="4" w:space="0" w:color="FFFFFF"/>
              <w:right w:val="single" w:sz="4" w:space="0" w:color="FFFFFF"/>
            </w:tcBorders>
            <w:shd w:val="clear" w:color="auto" w:fill="auto"/>
            <w:noWrap/>
            <w:vAlign w:val="center"/>
            <w:hideMark/>
          </w:tcPr>
          <w:p w14:paraId="7C81A86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25,876</w:t>
            </w:r>
          </w:p>
        </w:tc>
      </w:tr>
      <w:tr w:rsidR="007940B2" w:rsidRPr="0011239F" w14:paraId="40C59E77"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106A2A8"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Grants and Subsidies</w:t>
            </w:r>
          </w:p>
        </w:tc>
        <w:tc>
          <w:tcPr>
            <w:tcW w:w="616" w:type="pct"/>
            <w:tcBorders>
              <w:top w:val="nil"/>
              <w:left w:val="nil"/>
              <w:bottom w:val="single" w:sz="4" w:space="0" w:color="FFFFFF"/>
              <w:right w:val="single" w:sz="4" w:space="0" w:color="FFFFFF"/>
            </w:tcBorders>
            <w:shd w:val="clear" w:color="auto" w:fill="auto"/>
            <w:noWrap/>
            <w:vAlign w:val="center"/>
            <w:hideMark/>
          </w:tcPr>
          <w:p w14:paraId="569AE93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0FF0AE5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F5CA8D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043661F"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85CFFB6"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Appropriation Expense</w:t>
            </w:r>
          </w:p>
        </w:tc>
        <w:tc>
          <w:tcPr>
            <w:tcW w:w="616" w:type="pct"/>
            <w:tcBorders>
              <w:top w:val="nil"/>
              <w:left w:val="nil"/>
              <w:bottom w:val="single" w:sz="4" w:space="0" w:color="FFFFFF"/>
              <w:right w:val="single" w:sz="4" w:space="0" w:color="FFFFFF"/>
            </w:tcBorders>
            <w:shd w:val="clear" w:color="auto" w:fill="auto"/>
            <w:noWrap/>
            <w:vAlign w:val="center"/>
            <w:hideMark/>
          </w:tcPr>
          <w:p w14:paraId="22CAEA1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5D827F3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2584B08"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1E5030C"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4B1829C"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Depreciation and Amortisation</w:t>
            </w:r>
          </w:p>
        </w:tc>
        <w:tc>
          <w:tcPr>
            <w:tcW w:w="616" w:type="pct"/>
            <w:tcBorders>
              <w:top w:val="nil"/>
              <w:left w:val="nil"/>
              <w:bottom w:val="single" w:sz="4" w:space="0" w:color="FFFFFF"/>
              <w:right w:val="single" w:sz="4" w:space="0" w:color="FFFFFF"/>
            </w:tcBorders>
            <w:shd w:val="clear" w:color="auto" w:fill="auto"/>
            <w:noWrap/>
            <w:vAlign w:val="center"/>
            <w:hideMark/>
          </w:tcPr>
          <w:p w14:paraId="58EC823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1,361</w:t>
            </w:r>
          </w:p>
        </w:tc>
        <w:tc>
          <w:tcPr>
            <w:tcW w:w="616" w:type="pct"/>
            <w:tcBorders>
              <w:top w:val="nil"/>
              <w:left w:val="nil"/>
              <w:bottom w:val="single" w:sz="4" w:space="0" w:color="FFFFFF"/>
              <w:right w:val="single" w:sz="4" w:space="0" w:color="FFFFFF"/>
            </w:tcBorders>
            <w:shd w:val="clear" w:color="auto" w:fill="auto"/>
            <w:noWrap/>
            <w:vAlign w:val="center"/>
            <w:hideMark/>
          </w:tcPr>
          <w:p w14:paraId="044C9FC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1,782</w:t>
            </w:r>
          </w:p>
        </w:tc>
        <w:tc>
          <w:tcPr>
            <w:tcW w:w="613" w:type="pct"/>
            <w:tcBorders>
              <w:top w:val="nil"/>
              <w:left w:val="nil"/>
              <w:bottom w:val="single" w:sz="4" w:space="0" w:color="FFFFFF"/>
              <w:right w:val="single" w:sz="4" w:space="0" w:color="FFFFFF"/>
            </w:tcBorders>
            <w:shd w:val="clear" w:color="auto" w:fill="auto"/>
            <w:noWrap/>
            <w:vAlign w:val="center"/>
            <w:hideMark/>
          </w:tcPr>
          <w:p w14:paraId="0A99307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6,865</w:t>
            </w:r>
          </w:p>
        </w:tc>
      </w:tr>
      <w:tr w:rsidR="007940B2" w:rsidRPr="0011239F" w14:paraId="3C2131BC"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39B2B794"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Finance Costs</w:t>
            </w:r>
          </w:p>
        </w:tc>
        <w:tc>
          <w:tcPr>
            <w:tcW w:w="616" w:type="pct"/>
            <w:tcBorders>
              <w:top w:val="nil"/>
              <w:left w:val="nil"/>
              <w:bottom w:val="single" w:sz="4" w:space="0" w:color="FFFFFF"/>
              <w:right w:val="single" w:sz="4" w:space="0" w:color="FFFFFF"/>
            </w:tcBorders>
            <w:shd w:val="clear" w:color="auto" w:fill="auto"/>
            <w:noWrap/>
            <w:vAlign w:val="center"/>
            <w:hideMark/>
          </w:tcPr>
          <w:p w14:paraId="183988E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7245BB1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828466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113</w:t>
            </w:r>
          </w:p>
        </w:tc>
      </w:tr>
      <w:tr w:rsidR="007940B2" w:rsidRPr="0011239F" w14:paraId="2ACE3159" w14:textId="77777777" w:rsidTr="003C6E9F">
        <w:trPr>
          <w:trHeight w:val="225"/>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607DD72E"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Expenses</w:t>
            </w:r>
          </w:p>
        </w:tc>
        <w:tc>
          <w:tcPr>
            <w:tcW w:w="616" w:type="pct"/>
            <w:tcBorders>
              <w:top w:val="nil"/>
              <w:left w:val="nil"/>
              <w:bottom w:val="single" w:sz="4" w:space="0" w:color="auto"/>
              <w:right w:val="single" w:sz="4" w:space="0" w:color="FFFFFF"/>
            </w:tcBorders>
            <w:shd w:val="clear" w:color="auto" w:fill="auto"/>
            <w:noWrap/>
            <w:vAlign w:val="center"/>
            <w:hideMark/>
          </w:tcPr>
          <w:p w14:paraId="56B4F06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auto"/>
              <w:right w:val="single" w:sz="4" w:space="0" w:color="FFFFFF"/>
            </w:tcBorders>
            <w:shd w:val="clear" w:color="auto" w:fill="auto"/>
            <w:noWrap/>
            <w:vAlign w:val="center"/>
            <w:hideMark/>
          </w:tcPr>
          <w:p w14:paraId="7677807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auto"/>
              <w:right w:val="single" w:sz="4" w:space="0" w:color="FFFFFF"/>
            </w:tcBorders>
            <w:shd w:val="clear" w:color="auto" w:fill="auto"/>
            <w:noWrap/>
            <w:vAlign w:val="center"/>
            <w:hideMark/>
          </w:tcPr>
          <w:p w14:paraId="61879E3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9D5DC40" w14:textId="77777777" w:rsidTr="00A11350">
        <w:trPr>
          <w:trHeight w:val="340"/>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4347FD19"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EXPENSES EXCLUDING LOSSES</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3BC572C9"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161,369</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20D16688"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172,675</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1C573D42"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146,220</w:t>
            </w:r>
          </w:p>
        </w:tc>
      </w:tr>
      <w:tr w:rsidR="007940B2" w:rsidRPr="0011239F" w14:paraId="309F46D6"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7C6F63D4"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Revenue</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5855C16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6CE8D91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auto"/>
              <w:left w:val="nil"/>
              <w:bottom w:val="single" w:sz="4" w:space="0" w:color="FFFFFF"/>
              <w:right w:val="single" w:sz="4" w:space="0" w:color="FFFFFF"/>
            </w:tcBorders>
            <w:shd w:val="clear" w:color="auto" w:fill="auto"/>
            <w:noWrap/>
            <w:vAlign w:val="center"/>
            <w:hideMark/>
          </w:tcPr>
          <w:p w14:paraId="3BDD374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2C13D982"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696D4C9E"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Appropriation Revenue</w:t>
            </w:r>
          </w:p>
        </w:tc>
        <w:tc>
          <w:tcPr>
            <w:tcW w:w="616" w:type="pct"/>
            <w:tcBorders>
              <w:top w:val="nil"/>
              <w:left w:val="nil"/>
              <w:bottom w:val="single" w:sz="4" w:space="0" w:color="FFFFFF"/>
              <w:right w:val="single" w:sz="4" w:space="0" w:color="FFFFFF"/>
            </w:tcBorders>
            <w:shd w:val="clear" w:color="auto" w:fill="auto"/>
            <w:noWrap/>
            <w:vAlign w:val="center"/>
            <w:hideMark/>
          </w:tcPr>
          <w:p w14:paraId="2121312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16854C8"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A89306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0515C30"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108C1923"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Cluster Grant Revenue</w:t>
            </w:r>
          </w:p>
        </w:tc>
        <w:tc>
          <w:tcPr>
            <w:tcW w:w="616" w:type="pct"/>
            <w:tcBorders>
              <w:top w:val="nil"/>
              <w:left w:val="nil"/>
              <w:bottom w:val="single" w:sz="4" w:space="0" w:color="FFFFFF"/>
              <w:right w:val="single" w:sz="4" w:space="0" w:color="FFFFFF"/>
            </w:tcBorders>
            <w:shd w:val="clear" w:color="auto" w:fill="auto"/>
            <w:noWrap/>
            <w:vAlign w:val="center"/>
            <w:hideMark/>
          </w:tcPr>
          <w:p w14:paraId="69ACFD1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126,297</w:t>
            </w:r>
          </w:p>
        </w:tc>
        <w:tc>
          <w:tcPr>
            <w:tcW w:w="616" w:type="pct"/>
            <w:tcBorders>
              <w:top w:val="nil"/>
              <w:left w:val="nil"/>
              <w:bottom w:val="single" w:sz="4" w:space="0" w:color="FFFFFF"/>
              <w:right w:val="single" w:sz="4" w:space="0" w:color="FFFFFF"/>
            </w:tcBorders>
            <w:shd w:val="clear" w:color="auto" w:fill="auto"/>
            <w:noWrap/>
            <w:vAlign w:val="center"/>
            <w:hideMark/>
          </w:tcPr>
          <w:p w14:paraId="2C75A5E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135,961</w:t>
            </w:r>
          </w:p>
        </w:tc>
        <w:tc>
          <w:tcPr>
            <w:tcW w:w="613" w:type="pct"/>
            <w:tcBorders>
              <w:top w:val="nil"/>
              <w:left w:val="nil"/>
              <w:bottom w:val="single" w:sz="4" w:space="0" w:color="FFFFFF"/>
              <w:right w:val="single" w:sz="4" w:space="0" w:color="FFFFFF"/>
            </w:tcBorders>
            <w:shd w:val="clear" w:color="auto" w:fill="auto"/>
            <w:noWrap/>
            <w:vAlign w:val="center"/>
            <w:hideMark/>
          </w:tcPr>
          <w:p w14:paraId="386B881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34,389</w:t>
            </w:r>
          </w:p>
        </w:tc>
      </w:tr>
      <w:tr w:rsidR="007940B2" w:rsidRPr="0011239F" w14:paraId="77F9739B"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vAlign w:val="center"/>
            <w:hideMark/>
          </w:tcPr>
          <w:p w14:paraId="1C4A51E4"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Acceptance by Crown Entity of Employee Benefits and Other Liabilities</w:t>
            </w:r>
          </w:p>
        </w:tc>
        <w:tc>
          <w:tcPr>
            <w:tcW w:w="616" w:type="pct"/>
            <w:tcBorders>
              <w:top w:val="nil"/>
              <w:left w:val="nil"/>
              <w:bottom w:val="single" w:sz="4" w:space="0" w:color="FFFFFF"/>
              <w:right w:val="single" w:sz="4" w:space="0" w:color="FFFFFF"/>
            </w:tcBorders>
            <w:shd w:val="clear" w:color="auto" w:fill="auto"/>
            <w:noWrap/>
            <w:vAlign w:val="center"/>
            <w:hideMark/>
          </w:tcPr>
          <w:p w14:paraId="6A3450F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2,815</w:t>
            </w:r>
          </w:p>
        </w:tc>
        <w:tc>
          <w:tcPr>
            <w:tcW w:w="616" w:type="pct"/>
            <w:tcBorders>
              <w:top w:val="nil"/>
              <w:left w:val="nil"/>
              <w:bottom w:val="single" w:sz="4" w:space="0" w:color="FFFFFF"/>
              <w:right w:val="single" w:sz="4" w:space="0" w:color="FFFFFF"/>
            </w:tcBorders>
            <w:shd w:val="clear" w:color="auto" w:fill="auto"/>
            <w:noWrap/>
            <w:vAlign w:val="center"/>
            <w:hideMark/>
          </w:tcPr>
          <w:p w14:paraId="7414372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2,814</w:t>
            </w:r>
          </w:p>
        </w:tc>
        <w:tc>
          <w:tcPr>
            <w:tcW w:w="613" w:type="pct"/>
            <w:tcBorders>
              <w:top w:val="nil"/>
              <w:left w:val="nil"/>
              <w:bottom w:val="single" w:sz="4" w:space="0" w:color="FFFFFF"/>
              <w:right w:val="single" w:sz="4" w:space="0" w:color="FFFFFF"/>
            </w:tcBorders>
            <w:shd w:val="clear" w:color="auto" w:fill="auto"/>
            <w:noWrap/>
            <w:vAlign w:val="center"/>
            <w:hideMark/>
          </w:tcPr>
          <w:p w14:paraId="4695B2C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2,747</w:t>
            </w:r>
          </w:p>
        </w:tc>
      </w:tr>
      <w:tr w:rsidR="007940B2" w:rsidRPr="0011239F" w14:paraId="7C90777B"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37D4FB4B"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Transfers to the Crown Entity</w:t>
            </w:r>
          </w:p>
        </w:tc>
        <w:tc>
          <w:tcPr>
            <w:tcW w:w="616" w:type="pct"/>
            <w:tcBorders>
              <w:top w:val="nil"/>
              <w:left w:val="nil"/>
              <w:bottom w:val="single" w:sz="4" w:space="0" w:color="FFFFFF"/>
              <w:right w:val="single" w:sz="4" w:space="0" w:color="FFFFFF"/>
            </w:tcBorders>
            <w:shd w:val="clear" w:color="auto" w:fill="auto"/>
            <w:noWrap/>
            <w:vAlign w:val="center"/>
            <w:hideMark/>
          </w:tcPr>
          <w:p w14:paraId="00B93B0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5D191EC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7BF9A5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CC18ADD"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4D44AA43"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Sales of Goods and Services</w:t>
            </w:r>
          </w:p>
        </w:tc>
        <w:tc>
          <w:tcPr>
            <w:tcW w:w="616" w:type="pct"/>
            <w:tcBorders>
              <w:top w:val="nil"/>
              <w:left w:val="nil"/>
              <w:bottom w:val="single" w:sz="4" w:space="0" w:color="FFFFFF"/>
              <w:right w:val="single" w:sz="4" w:space="0" w:color="FFFFFF"/>
            </w:tcBorders>
            <w:shd w:val="clear" w:color="auto" w:fill="auto"/>
            <w:noWrap/>
            <w:vAlign w:val="center"/>
            <w:hideMark/>
          </w:tcPr>
          <w:p w14:paraId="5E449A7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30,450</w:t>
            </w:r>
          </w:p>
        </w:tc>
        <w:tc>
          <w:tcPr>
            <w:tcW w:w="616" w:type="pct"/>
            <w:tcBorders>
              <w:top w:val="nil"/>
              <w:left w:val="nil"/>
              <w:bottom w:val="single" w:sz="4" w:space="0" w:color="FFFFFF"/>
              <w:right w:val="single" w:sz="4" w:space="0" w:color="FFFFFF"/>
            </w:tcBorders>
            <w:shd w:val="clear" w:color="auto" w:fill="auto"/>
            <w:noWrap/>
            <w:vAlign w:val="center"/>
            <w:hideMark/>
          </w:tcPr>
          <w:p w14:paraId="08E7989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29,764</w:t>
            </w:r>
          </w:p>
        </w:tc>
        <w:tc>
          <w:tcPr>
            <w:tcW w:w="613" w:type="pct"/>
            <w:tcBorders>
              <w:top w:val="nil"/>
              <w:left w:val="nil"/>
              <w:bottom w:val="single" w:sz="4" w:space="0" w:color="FFFFFF"/>
              <w:right w:val="single" w:sz="4" w:space="0" w:color="FFFFFF"/>
            </w:tcBorders>
            <w:shd w:val="clear" w:color="auto" w:fill="auto"/>
            <w:noWrap/>
            <w:vAlign w:val="center"/>
            <w:hideMark/>
          </w:tcPr>
          <w:p w14:paraId="37D4760C" w14:textId="629FB2ED" w:rsidR="007940B2" w:rsidRPr="0011239F" w:rsidRDefault="009A5765"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104,326</w:t>
            </w:r>
          </w:p>
        </w:tc>
      </w:tr>
      <w:tr w:rsidR="007940B2" w:rsidRPr="0011239F" w14:paraId="261C5F19"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57F93EB0"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Grants and Contributions</w:t>
            </w:r>
          </w:p>
        </w:tc>
        <w:tc>
          <w:tcPr>
            <w:tcW w:w="616" w:type="pct"/>
            <w:tcBorders>
              <w:top w:val="nil"/>
              <w:left w:val="nil"/>
              <w:bottom w:val="single" w:sz="4" w:space="0" w:color="FFFFFF"/>
              <w:right w:val="single" w:sz="4" w:space="0" w:color="FFFFFF"/>
            </w:tcBorders>
            <w:shd w:val="clear" w:color="auto" w:fill="auto"/>
            <w:noWrap/>
            <w:vAlign w:val="center"/>
            <w:hideMark/>
          </w:tcPr>
          <w:p w14:paraId="0FE6D04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1,784</w:t>
            </w:r>
          </w:p>
        </w:tc>
        <w:tc>
          <w:tcPr>
            <w:tcW w:w="616" w:type="pct"/>
            <w:tcBorders>
              <w:top w:val="nil"/>
              <w:left w:val="nil"/>
              <w:bottom w:val="single" w:sz="4" w:space="0" w:color="FFFFFF"/>
              <w:right w:val="single" w:sz="4" w:space="0" w:color="FFFFFF"/>
            </w:tcBorders>
            <w:shd w:val="clear" w:color="auto" w:fill="auto"/>
            <w:noWrap/>
            <w:vAlign w:val="center"/>
            <w:hideMark/>
          </w:tcPr>
          <w:p w14:paraId="24D06A8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2,451</w:t>
            </w:r>
          </w:p>
        </w:tc>
        <w:tc>
          <w:tcPr>
            <w:tcW w:w="613" w:type="pct"/>
            <w:tcBorders>
              <w:top w:val="nil"/>
              <w:left w:val="nil"/>
              <w:bottom w:val="single" w:sz="4" w:space="0" w:color="FFFFFF"/>
              <w:right w:val="single" w:sz="4" w:space="0" w:color="FFFFFF"/>
            </w:tcBorders>
            <w:shd w:val="clear" w:color="auto" w:fill="auto"/>
            <w:noWrap/>
            <w:vAlign w:val="center"/>
            <w:hideMark/>
          </w:tcPr>
          <w:p w14:paraId="6A930B1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1,771</w:t>
            </w:r>
          </w:p>
        </w:tc>
      </w:tr>
      <w:tr w:rsidR="007940B2" w:rsidRPr="0011239F" w14:paraId="54FDC419"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29790658"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Investment Revenue</w:t>
            </w:r>
          </w:p>
        </w:tc>
        <w:tc>
          <w:tcPr>
            <w:tcW w:w="616" w:type="pct"/>
            <w:tcBorders>
              <w:top w:val="nil"/>
              <w:left w:val="nil"/>
              <w:bottom w:val="single" w:sz="4" w:space="0" w:color="FFFFFF"/>
              <w:right w:val="single" w:sz="4" w:space="0" w:color="FFFFFF"/>
            </w:tcBorders>
            <w:shd w:val="clear" w:color="auto" w:fill="auto"/>
            <w:noWrap/>
            <w:vAlign w:val="center"/>
            <w:hideMark/>
          </w:tcPr>
          <w:p w14:paraId="22F523A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208</w:t>
            </w:r>
          </w:p>
        </w:tc>
        <w:tc>
          <w:tcPr>
            <w:tcW w:w="616" w:type="pct"/>
            <w:tcBorders>
              <w:top w:val="nil"/>
              <w:left w:val="nil"/>
              <w:bottom w:val="single" w:sz="4" w:space="0" w:color="FFFFFF"/>
              <w:right w:val="single" w:sz="4" w:space="0" w:color="FFFFFF"/>
            </w:tcBorders>
            <w:shd w:val="clear" w:color="auto" w:fill="auto"/>
            <w:noWrap/>
            <w:vAlign w:val="center"/>
            <w:hideMark/>
          </w:tcPr>
          <w:p w14:paraId="316594A9" w14:textId="23A0290F" w:rsidR="007940B2" w:rsidRPr="0011239F" w:rsidRDefault="00D62CFD"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104ECD1"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212</w:t>
            </w:r>
          </w:p>
        </w:tc>
      </w:tr>
      <w:tr w:rsidR="007940B2" w:rsidRPr="0011239F" w14:paraId="2FB30E11"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2658D970"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Retained Taxes, Fees and Fines</w:t>
            </w:r>
          </w:p>
        </w:tc>
        <w:tc>
          <w:tcPr>
            <w:tcW w:w="616" w:type="pct"/>
            <w:tcBorders>
              <w:top w:val="nil"/>
              <w:left w:val="nil"/>
              <w:bottom w:val="single" w:sz="4" w:space="0" w:color="FFFFFF"/>
              <w:right w:val="single" w:sz="4" w:space="0" w:color="FFFFFF"/>
            </w:tcBorders>
            <w:shd w:val="clear" w:color="auto" w:fill="auto"/>
            <w:noWrap/>
            <w:vAlign w:val="center"/>
            <w:hideMark/>
          </w:tcPr>
          <w:p w14:paraId="399A55C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70DAC1E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34DEE1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C85A281" w14:textId="77777777" w:rsidTr="003C6E9F">
        <w:trPr>
          <w:trHeight w:val="225"/>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032F80BD"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Revenue</w:t>
            </w:r>
          </w:p>
        </w:tc>
        <w:tc>
          <w:tcPr>
            <w:tcW w:w="616" w:type="pct"/>
            <w:tcBorders>
              <w:top w:val="nil"/>
              <w:left w:val="nil"/>
              <w:bottom w:val="single" w:sz="4" w:space="0" w:color="auto"/>
              <w:right w:val="single" w:sz="4" w:space="0" w:color="FFFFFF"/>
            </w:tcBorders>
            <w:shd w:val="clear" w:color="auto" w:fill="auto"/>
            <w:noWrap/>
            <w:vAlign w:val="center"/>
            <w:hideMark/>
          </w:tcPr>
          <w:p w14:paraId="506A8EFA"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518</w:t>
            </w:r>
          </w:p>
        </w:tc>
        <w:tc>
          <w:tcPr>
            <w:tcW w:w="616" w:type="pct"/>
            <w:tcBorders>
              <w:top w:val="nil"/>
              <w:left w:val="nil"/>
              <w:bottom w:val="single" w:sz="4" w:space="0" w:color="auto"/>
              <w:right w:val="single" w:sz="4" w:space="0" w:color="FFFFFF"/>
            </w:tcBorders>
            <w:shd w:val="clear" w:color="auto" w:fill="auto"/>
            <w:noWrap/>
            <w:vAlign w:val="center"/>
            <w:hideMark/>
          </w:tcPr>
          <w:p w14:paraId="22FBEF21"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2,895</w:t>
            </w:r>
          </w:p>
        </w:tc>
        <w:tc>
          <w:tcPr>
            <w:tcW w:w="613" w:type="pct"/>
            <w:tcBorders>
              <w:top w:val="nil"/>
              <w:left w:val="nil"/>
              <w:bottom w:val="single" w:sz="4" w:space="0" w:color="auto"/>
              <w:right w:val="single" w:sz="4" w:space="0" w:color="FFFFFF"/>
            </w:tcBorders>
            <w:shd w:val="clear" w:color="auto" w:fill="auto"/>
            <w:noWrap/>
            <w:vAlign w:val="center"/>
            <w:hideMark/>
          </w:tcPr>
          <w:p w14:paraId="36119B7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805</w:t>
            </w:r>
          </w:p>
        </w:tc>
      </w:tr>
      <w:tr w:rsidR="007940B2" w:rsidRPr="0011239F" w14:paraId="161BC3BE" w14:textId="77777777" w:rsidTr="00A11350">
        <w:trPr>
          <w:trHeight w:val="340"/>
        </w:trPr>
        <w:tc>
          <w:tcPr>
            <w:tcW w:w="3155" w:type="pct"/>
            <w:tcBorders>
              <w:top w:val="nil"/>
              <w:left w:val="single" w:sz="4" w:space="0" w:color="FFFFFF"/>
              <w:bottom w:val="single" w:sz="4" w:space="0" w:color="auto"/>
              <w:right w:val="single" w:sz="4" w:space="0" w:color="FFFFFF"/>
            </w:tcBorders>
            <w:shd w:val="clear" w:color="auto" w:fill="auto"/>
            <w:noWrap/>
            <w:vAlign w:val="center"/>
            <w:hideMark/>
          </w:tcPr>
          <w:p w14:paraId="0DB82840"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Revenue</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6CECDC9D"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162,072</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55D86A2C"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173,885</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6A6DECA1" w14:textId="5253DAB2"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144,</w:t>
            </w:r>
            <w:r w:rsidR="009A5765" w:rsidRPr="0011239F">
              <w:rPr>
                <w:rFonts w:ascii="Arial" w:hAnsi="Arial" w:cs="Arial"/>
                <w:b/>
                <w:bCs/>
                <w:color w:val="25A9E1"/>
                <w:sz w:val="18"/>
                <w:szCs w:val="18"/>
                <w:lang w:eastAsia="en-AU"/>
              </w:rPr>
              <w:t>249</w:t>
            </w:r>
          </w:p>
        </w:tc>
      </w:tr>
      <w:tr w:rsidR="007940B2" w:rsidRPr="0011239F" w14:paraId="0F8518F9" w14:textId="77777777" w:rsidTr="003C6E9F">
        <w:trPr>
          <w:trHeight w:val="225"/>
        </w:trPr>
        <w:tc>
          <w:tcPr>
            <w:tcW w:w="3155" w:type="pct"/>
            <w:tcBorders>
              <w:top w:val="nil"/>
              <w:left w:val="single" w:sz="4" w:space="0" w:color="FFFFFF"/>
              <w:bottom w:val="single" w:sz="4" w:space="0" w:color="FFFFFF"/>
              <w:right w:val="single" w:sz="4" w:space="0" w:color="FFFFFF"/>
            </w:tcBorders>
            <w:shd w:val="clear" w:color="auto" w:fill="auto"/>
            <w:noWrap/>
            <w:vAlign w:val="center"/>
            <w:hideMark/>
          </w:tcPr>
          <w:p w14:paraId="42310F0A"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Gain/(loss) on Disposal of </w:t>
            </w:r>
            <w:proofErr w:type="spellStart"/>
            <w:proofErr w:type="gramStart"/>
            <w:r w:rsidRPr="0011239F">
              <w:rPr>
                <w:rFonts w:ascii="Arial" w:hAnsi="Arial" w:cs="Arial"/>
                <w:color w:val="000000"/>
                <w:sz w:val="18"/>
                <w:szCs w:val="18"/>
                <w:lang w:eastAsia="en-AU"/>
              </w:rPr>
              <w:t>Non Current</w:t>
            </w:r>
            <w:proofErr w:type="spellEnd"/>
            <w:proofErr w:type="gramEnd"/>
            <w:r w:rsidRPr="0011239F">
              <w:rPr>
                <w:rFonts w:ascii="Arial" w:hAnsi="Arial" w:cs="Arial"/>
                <w:color w:val="000000"/>
                <w:sz w:val="18"/>
                <w:szCs w:val="18"/>
                <w:lang w:eastAsia="en-AU"/>
              </w:rPr>
              <w:t xml:space="preserve"> Assets</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6F1AC341"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10</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70C17F8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single" w:sz="4" w:space="0" w:color="auto"/>
              <w:left w:val="nil"/>
              <w:bottom w:val="single" w:sz="4" w:space="0" w:color="FFFFFF"/>
              <w:right w:val="single" w:sz="4" w:space="0" w:color="FFFFFF"/>
            </w:tcBorders>
            <w:shd w:val="clear" w:color="auto" w:fill="auto"/>
            <w:noWrap/>
            <w:vAlign w:val="center"/>
            <w:hideMark/>
          </w:tcPr>
          <w:p w14:paraId="4A468C67" w14:textId="75F9CBFB" w:rsidR="007940B2" w:rsidRPr="0011239F" w:rsidRDefault="009A5765"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10</w:t>
            </w:r>
          </w:p>
        </w:tc>
      </w:tr>
      <w:tr w:rsidR="007940B2" w:rsidRPr="0011239F" w14:paraId="387CF59F" w14:textId="77777777" w:rsidTr="003C6E9F">
        <w:trPr>
          <w:trHeight w:val="225"/>
        </w:trPr>
        <w:tc>
          <w:tcPr>
            <w:tcW w:w="3155" w:type="pct"/>
            <w:tcBorders>
              <w:top w:val="nil"/>
              <w:left w:val="single" w:sz="4" w:space="0" w:color="FFFFFF"/>
              <w:bottom w:val="nil"/>
              <w:right w:val="single" w:sz="4" w:space="0" w:color="FFFFFF"/>
            </w:tcBorders>
            <w:shd w:val="clear" w:color="auto" w:fill="auto"/>
            <w:noWrap/>
            <w:vAlign w:val="center"/>
            <w:hideMark/>
          </w:tcPr>
          <w:p w14:paraId="001BBBDD"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Gains/(Losses)</w:t>
            </w:r>
          </w:p>
        </w:tc>
        <w:tc>
          <w:tcPr>
            <w:tcW w:w="616" w:type="pct"/>
            <w:tcBorders>
              <w:top w:val="nil"/>
              <w:left w:val="nil"/>
              <w:bottom w:val="nil"/>
              <w:right w:val="single" w:sz="4" w:space="0" w:color="FFFFFF"/>
            </w:tcBorders>
            <w:shd w:val="clear" w:color="auto" w:fill="auto"/>
            <w:noWrap/>
            <w:vAlign w:val="center"/>
            <w:hideMark/>
          </w:tcPr>
          <w:p w14:paraId="4302B1A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nil"/>
              <w:right w:val="single" w:sz="4" w:space="0" w:color="FFFFFF"/>
            </w:tcBorders>
            <w:shd w:val="clear" w:color="auto" w:fill="auto"/>
            <w:noWrap/>
            <w:vAlign w:val="center"/>
            <w:hideMark/>
          </w:tcPr>
          <w:p w14:paraId="596524A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nil"/>
              <w:right w:val="single" w:sz="4" w:space="0" w:color="FFFFFF"/>
            </w:tcBorders>
            <w:shd w:val="clear" w:color="auto" w:fill="auto"/>
            <w:noWrap/>
            <w:vAlign w:val="center"/>
            <w:hideMark/>
          </w:tcPr>
          <w:p w14:paraId="183B5D7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C78518F" w14:textId="77777777" w:rsidTr="00A11350">
        <w:trPr>
          <w:trHeight w:val="340"/>
        </w:trPr>
        <w:tc>
          <w:tcPr>
            <w:tcW w:w="315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CE79D5E"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Net Result</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4C8CF95D"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713</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574732EF"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1,210</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6179E5F8"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(1,961)</w:t>
            </w:r>
          </w:p>
        </w:tc>
      </w:tr>
    </w:tbl>
    <w:p w14:paraId="4EDD9518" w14:textId="77777777" w:rsidR="007940B2" w:rsidRPr="0011239F" w:rsidRDefault="007940B2" w:rsidP="00653655">
      <w:pPr>
        <w:pStyle w:val="ListParagraph"/>
        <w:spacing w:before="360"/>
        <w:ind w:left="405"/>
        <w:rPr>
          <w:rFonts w:cs="Arial"/>
        </w:rPr>
      </w:pPr>
    </w:p>
    <w:p w14:paraId="25AD91C3" w14:textId="77777777" w:rsidR="007940B2" w:rsidRPr="0011239F" w:rsidRDefault="007940B2" w:rsidP="007940B2">
      <w:pPr>
        <w:pStyle w:val="ListParagraph"/>
        <w:numPr>
          <w:ilvl w:val="0"/>
          <w:numId w:val="12"/>
        </w:numPr>
        <w:rPr>
          <w:rFonts w:cs="Arial"/>
        </w:rPr>
      </w:pPr>
      <w:r w:rsidRPr="0011239F">
        <w:rPr>
          <w:rFonts w:cs="Arial"/>
        </w:rPr>
        <w:br w:type="page"/>
      </w:r>
    </w:p>
    <w:p w14:paraId="0EBDA9BA" w14:textId="77777777" w:rsidR="007940B2" w:rsidRPr="0011239F" w:rsidRDefault="007940B2" w:rsidP="00DB3AC8">
      <w:pPr>
        <w:pStyle w:val="Heading4"/>
        <w:spacing w:before="0"/>
        <w:rPr>
          <w:rFonts w:cs="Arial"/>
          <w:lang w:eastAsia="en-AU"/>
        </w:rPr>
      </w:pPr>
      <w:r w:rsidRPr="0011239F">
        <w:rPr>
          <w:rFonts w:cs="Arial"/>
          <w:lang w:eastAsia="en-AU"/>
        </w:rPr>
        <w:lastRenderedPageBreak/>
        <w:t>Balance Sheet</w:t>
      </w:r>
    </w:p>
    <w:tbl>
      <w:tblPr>
        <w:tblW w:w="5012" w:type="pct"/>
        <w:tblLook w:val="04A0" w:firstRow="1" w:lastRow="0" w:firstColumn="1" w:lastColumn="0" w:noHBand="0" w:noVBand="1"/>
        <w:tblCaption w:val="NSW Education Standards Authority"/>
        <w:tblDescription w:val="NSW Education Standards Authority - Balance Sheet"/>
      </w:tblPr>
      <w:tblGrid>
        <w:gridCol w:w="6101"/>
        <w:gridCol w:w="1190"/>
        <w:gridCol w:w="1190"/>
        <w:gridCol w:w="1181"/>
      </w:tblGrid>
      <w:tr w:rsidR="003C6E9F" w:rsidRPr="0011239F" w14:paraId="4BB80C2E" w14:textId="77777777" w:rsidTr="003C6E9F">
        <w:trPr>
          <w:trHeight w:val="283"/>
        </w:trPr>
        <w:tc>
          <w:tcPr>
            <w:tcW w:w="3157" w:type="pct"/>
            <w:shd w:val="clear" w:color="auto" w:fill="00ABE6"/>
            <w:vAlign w:val="center"/>
            <w:hideMark/>
          </w:tcPr>
          <w:p w14:paraId="4F0227E0"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32" w:type="pct"/>
            <w:gridSpan w:val="2"/>
            <w:shd w:val="clear" w:color="auto" w:fill="00ABE6"/>
            <w:vAlign w:val="bottom"/>
            <w:hideMark/>
          </w:tcPr>
          <w:p w14:paraId="20C0AE1E"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1" w:type="pct"/>
            <w:shd w:val="clear" w:color="auto" w:fill="00ABE6"/>
            <w:vAlign w:val="bottom"/>
            <w:hideMark/>
          </w:tcPr>
          <w:p w14:paraId="1AE48466"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47ACC72B" w14:textId="77777777" w:rsidTr="003C6E9F">
        <w:trPr>
          <w:trHeight w:val="255"/>
        </w:trPr>
        <w:tc>
          <w:tcPr>
            <w:tcW w:w="3157" w:type="pct"/>
            <w:shd w:val="clear" w:color="auto" w:fill="00ABE6"/>
            <w:vAlign w:val="center"/>
            <w:hideMark/>
          </w:tcPr>
          <w:p w14:paraId="6EB8135B"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6" w:type="pct"/>
            <w:shd w:val="clear" w:color="auto" w:fill="00ABE6"/>
            <w:vAlign w:val="center"/>
            <w:hideMark/>
          </w:tcPr>
          <w:p w14:paraId="26CB7150"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6" w:type="pct"/>
            <w:shd w:val="clear" w:color="auto" w:fill="00ABE6"/>
            <w:vAlign w:val="center"/>
            <w:hideMark/>
          </w:tcPr>
          <w:p w14:paraId="65C6C93A"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1" w:type="pct"/>
            <w:shd w:val="clear" w:color="auto" w:fill="00ABE6"/>
            <w:vAlign w:val="center"/>
            <w:hideMark/>
          </w:tcPr>
          <w:p w14:paraId="162294A2"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2448AFBB" w14:textId="77777777" w:rsidTr="003C6E9F">
        <w:trPr>
          <w:trHeight w:val="238"/>
        </w:trPr>
        <w:tc>
          <w:tcPr>
            <w:tcW w:w="3157" w:type="pct"/>
            <w:shd w:val="clear" w:color="auto" w:fill="0A7CB9"/>
            <w:vAlign w:val="center"/>
            <w:hideMark/>
          </w:tcPr>
          <w:p w14:paraId="4A619EED"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6" w:type="pct"/>
            <w:shd w:val="clear" w:color="auto" w:fill="0A7CB9"/>
            <w:hideMark/>
          </w:tcPr>
          <w:p w14:paraId="1E1ACFED"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6" w:type="pct"/>
            <w:shd w:val="clear" w:color="auto" w:fill="0A7CB9"/>
            <w:hideMark/>
          </w:tcPr>
          <w:p w14:paraId="05A78B2C"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1" w:type="pct"/>
            <w:shd w:val="clear" w:color="auto" w:fill="0A7CB9"/>
            <w:hideMark/>
          </w:tcPr>
          <w:p w14:paraId="0792C2D2"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22D1ABD9" w14:textId="77777777" w:rsidTr="003C6E9F">
        <w:trPr>
          <w:trHeight w:val="225"/>
        </w:trPr>
        <w:tc>
          <w:tcPr>
            <w:tcW w:w="315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6B7159D"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Assets</w:t>
            </w:r>
          </w:p>
        </w:tc>
        <w:tc>
          <w:tcPr>
            <w:tcW w:w="616" w:type="pct"/>
            <w:tcBorders>
              <w:top w:val="single" w:sz="4" w:space="0" w:color="FFFFFF"/>
              <w:left w:val="nil"/>
              <w:bottom w:val="single" w:sz="4" w:space="0" w:color="FFFFFF"/>
              <w:right w:val="single" w:sz="4" w:space="0" w:color="FFFFFF"/>
            </w:tcBorders>
            <w:shd w:val="clear" w:color="auto" w:fill="auto"/>
            <w:noWrap/>
            <w:vAlign w:val="bottom"/>
            <w:hideMark/>
          </w:tcPr>
          <w:p w14:paraId="68C5185A"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single" w:sz="4" w:space="0" w:color="FFFFFF"/>
              <w:left w:val="nil"/>
              <w:bottom w:val="single" w:sz="4" w:space="0" w:color="FFFFFF"/>
              <w:right w:val="single" w:sz="4" w:space="0" w:color="FFFFFF"/>
            </w:tcBorders>
            <w:shd w:val="clear" w:color="auto" w:fill="auto"/>
            <w:noWrap/>
            <w:vAlign w:val="bottom"/>
            <w:hideMark/>
          </w:tcPr>
          <w:p w14:paraId="6C441952"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1" w:type="pct"/>
            <w:tcBorders>
              <w:top w:val="single" w:sz="4" w:space="0" w:color="FFFFFF"/>
              <w:left w:val="nil"/>
              <w:bottom w:val="single" w:sz="4" w:space="0" w:color="FFFFFF"/>
              <w:right w:val="single" w:sz="4" w:space="0" w:color="FFFFFF"/>
            </w:tcBorders>
            <w:shd w:val="clear" w:color="auto" w:fill="auto"/>
            <w:noWrap/>
            <w:vAlign w:val="bottom"/>
            <w:hideMark/>
          </w:tcPr>
          <w:p w14:paraId="0B8C5CD2"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3B1F7076"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60BA6937" w14:textId="77777777" w:rsidR="007940B2" w:rsidRPr="0011239F" w:rsidRDefault="007940B2" w:rsidP="007940B2">
            <w:pPr>
              <w:rPr>
                <w:rFonts w:ascii="Arial" w:hAnsi="Arial" w:cs="Arial"/>
                <w:b/>
                <w:bCs/>
                <w:sz w:val="18"/>
                <w:szCs w:val="18"/>
                <w:lang w:eastAsia="en-AU"/>
              </w:rPr>
            </w:pPr>
            <w:r w:rsidRPr="0011239F">
              <w:rPr>
                <w:rFonts w:ascii="Arial" w:hAnsi="Arial" w:cs="Arial"/>
                <w:b/>
                <w:bCs/>
                <w:sz w:val="18"/>
                <w:szCs w:val="18"/>
                <w:lang w:eastAsia="en-AU"/>
              </w:rPr>
              <w:t>Current Assets</w:t>
            </w:r>
          </w:p>
        </w:tc>
        <w:tc>
          <w:tcPr>
            <w:tcW w:w="616" w:type="pct"/>
            <w:tcBorders>
              <w:top w:val="nil"/>
              <w:left w:val="nil"/>
              <w:bottom w:val="single" w:sz="4" w:space="0" w:color="FFFFFF"/>
              <w:right w:val="single" w:sz="4" w:space="0" w:color="FFFFFF"/>
            </w:tcBorders>
            <w:shd w:val="clear" w:color="auto" w:fill="auto"/>
            <w:noWrap/>
            <w:vAlign w:val="bottom"/>
            <w:hideMark/>
          </w:tcPr>
          <w:p w14:paraId="6A634476"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c>
          <w:tcPr>
            <w:tcW w:w="616" w:type="pct"/>
            <w:tcBorders>
              <w:top w:val="nil"/>
              <w:left w:val="nil"/>
              <w:bottom w:val="single" w:sz="4" w:space="0" w:color="FFFFFF"/>
              <w:right w:val="single" w:sz="4" w:space="0" w:color="FFFFFF"/>
            </w:tcBorders>
            <w:shd w:val="clear" w:color="auto" w:fill="auto"/>
            <w:noWrap/>
            <w:vAlign w:val="bottom"/>
            <w:hideMark/>
          </w:tcPr>
          <w:p w14:paraId="7D4648C4"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c>
          <w:tcPr>
            <w:tcW w:w="611" w:type="pct"/>
            <w:tcBorders>
              <w:top w:val="nil"/>
              <w:left w:val="nil"/>
              <w:bottom w:val="single" w:sz="4" w:space="0" w:color="FFFFFF"/>
              <w:right w:val="single" w:sz="4" w:space="0" w:color="FFFFFF"/>
            </w:tcBorders>
            <w:shd w:val="clear" w:color="auto" w:fill="auto"/>
            <w:noWrap/>
            <w:vAlign w:val="bottom"/>
            <w:hideMark/>
          </w:tcPr>
          <w:p w14:paraId="0C62889C"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r>
      <w:tr w:rsidR="007940B2" w:rsidRPr="0011239F" w14:paraId="223106C8"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402A23A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Cash Assets</w:t>
            </w:r>
          </w:p>
        </w:tc>
        <w:tc>
          <w:tcPr>
            <w:tcW w:w="616" w:type="pct"/>
            <w:tcBorders>
              <w:top w:val="nil"/>
              <w:left w:val="nil"/>
              <w:bottom w:val="single" w:sz="4" w:space="0" w:color="FFFFFF"/>
              <w:right w:val="single" w:sz="4" w:space="0" w:color="FFFFFF"/>
            </w:tcBorders>
            <w:shd w:val="clear" w:color="auto" w:fill="auto"/>
            <w:noWrap/>
            <w:vAlign w:val="center"/>
            <w:hideMark/>
          </w:tcPr>
          <w:p w14:paraId="2BA68DC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7,879</w:t>
            </w:r>
          </w:p>
        </w:tc>
        <w:tc>
          <w:tcPr>
            <w:tcW w:w="616" w:type="pct"/>
            <w:tcBorders>
              <w:top w:val="nil"/>
              <w:left w:val="nil"/>
              <w:bottom w:val="single" w:sz="4" w:space="0" w:color="FFFFFF"/>
              <w:right w:val="single" w:sz="4" w:space="0" w:color="FFFFFF"/>
            </w:tcBorders>
            <w:shd w:val="clear" w:color="auto" w:fill="auto"/>
            <w:noWrap/>
            <w:vAlign w:val="center"/>
            <w:hideMark/>
          </w:tcPr>
          <w:p w14:paraId="2F9978B6" w14:textId="0B135CEA" w:rsidR="007940B2" w:rsidRPr="0011239F" w:rsidRDefault="004E4AEF"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5,892</w:t>
            </w:r>
          </w:p>
        </w:tc>
        <w:tc>
          <w:tcPr>
            <w:tcW w:w="611" w:type="pct"/>
            <w:tcBorders>
              <w:top w:val="nil"/>
              <w:left w:val="nil"/>
              <w:bottom w:val="single" w:sz="4" w:space="0" w:color="FFFFFF"/>
              <w:right w:val="single" w:sz="4" w:space="0" w:color="FFFFFF"/>
            </w:tcBorders>
            <w:shd w:val="clear" w:color="auto" w:fill="auto"/>
            <w:noWrap/>
            <w:vAlign w:val="center"/>
            <w:hideMark/>
          </w:tcPr>
          <w:p w14:paraId="2DB8B62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3,947</w:t>
            </w:r>
          </w:p>
        </w:tc>
      </w:tr>
      <w:tr w:rsidR="007940B2" w:rsidRPr="0011239F" w14:paraId="7CAB0B76"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4DDDEFD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Receivable</w:t>
            </w:r>
          </w:p>
        </w:tc>
        <w:tc>
          <w:tcPr>
            <w:tcW w:w="616" w:type="pct"/>
            <w:tcBorders>
              <w:top w:val="nil"/>
              <w:left w:val="nil"/>
              <w:bottom w:val="single" w:sz="4" w:space="0" w:color="FFFFFF"/>
              <w:right w:val="single" w:sz="4" w:space="0" w:color="FFFFFF"/>
            </w:tcBorders>
            <w:shd w:val="clear" w:color="auto" w:fill="auto"/>
            <w:noWrap/>
            <w:vAlign w:val="center"/>
            <w:hideMark/>
          </w:tcPr>
          <w:p w14:paraId="5647B68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831DFD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4C65E91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6E9A926"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48E3A95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Receivables</w:t>
            </w:r>
          </w:p>
        </w:tc>
        <w:tc>
          <w:tcPr>
            <w:tcW w:w="616" w:type="pct"/>
            <w:tcBorders>
              <w:top w:val="nil"/>
              <w:left w:val="nil"/>
              <w:bottom w:val="single" w:sz="4" w:space="0" w:color="FFFFFF"/>
              <w:right w:val="single" w:sz="4" w:space="0" w:color="FFFFFF"/>
            </w:tcBorders>
            <w:shd w:val="clear" w:color="auto" w:fill="auto"/>
            <w:noWrap/>
            <w:vAlign w:val="center"/>
            <w:hideMark/>
          </w:tcPr>
          <w:p w14:paraId="60E4A25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4,629</w:t>
            </w:r>
          </w:p>
        </w:tc>
        <w:tc>
          <w:tcPr>
            <w:tcW w:w="616" w:type="pct"/>
            <w:tcBorders>
              <w:top w:val="nil"/>
              <w:left w:val="nil"/>
              <w:bottom w:val="single" w:sz="4" w:space="0" w:color="FFFFFF"/>
              <w:right w:val="single" w:sz="4" w:space="0" w:color="FFFFFF"/>
            </w:tcBorders>
            <w:shd w:val="clear" w:color="auto" w:fill="auto"/>
            <w:noWrap/>
            <w:vAlign w:val="center"/>
            <w:hideMark/>
          </w:tcPr>
          <w:p w14:paraId="3E3573E5" w14:textId="00E032E3"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w:t>
            </w:r>
            <w:r w:rsidR="004E4AEF" w:rsidRPr="0011239F">
              <w:rPr>
                <w:rFonts w:ascii="Arial" w:hAnsi="Arial" w:cs="Arial"/>
                <w:color w:val="000000"/>
                <w:sz w:val="18"/>
                <w:szCs w:val="18"/>
                <w:lang w:eastAsia="en-AU"/>
              </w:rPr>
              <w:t>616</w:t>
            </w:r>
          </w:p>
        </w:tc>
        <w:tc>
          <w:tcPr>
            <w:tcW w:w="611" w:type="pct"/>
            <w:tcBorders>
              <w:top w:val="nil"/>
              <w:left w:val="nil"/>
              <w:bottom w:val="single" w:sz="4" w:space="0" w:color="FFFFFF"/>
              <w:right w:val="single" w:sz="4" w:space="0" w:color="FFFFFF"/>
            </w:tcBorders>
            <w:shd w:val="clear" w:color="auto" w:fill="auto"/>
            <w:noWrap/>
            <w:vAlign w:val="center"/>
            <w:hideMark/>
          </w:tcPr>
          <w:p w14:paraId="23ABF52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4,629</w:t>
            </w:r>
          </w:p>
        </w:tc>
      </w:tr>
      <w:tr w:rsidR="007940B2" w:rsidRPr="0011239F" w14:paraId="2BD3B184"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1D0ADC9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Inventories</w:t>
            </w:r>
          </w:p>
        </w:tc>
        <w:tc>
          <w:tcPr>
            <w:tcW w:w="616" w:type="pct"/>
            <w:tcBorders>
              <w:top w:val="nil"/>
              <w:left w:val="nil"/>
              <w:bottom w:val="single" w:sz="4" w:space="0" w:color="FFFFFF"/>
              <w:right w:val="single" w:sz="4" w:space="0" w:color="FFFFFF"/>
            </w:tcBorders>
            <w:shd w:val="clear" w:color="auto" w:fill="auto"/>
            <w:noWrap/>
            <w:vAlign w:val="center"/>
            <w:hideMark/>
          </w:tcPr>
          <w:p w14:paraId="44BC5E4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1,779</w:t>
            </w:r>
          </w:p>
        </w:tc>
        <w:tc>
          <w:tcPr>
            <w:tcW w:w="616" w:type="pct"/>
            <w:tcBorders>
              <w:top w:val="nil"/>
              <w:left w:val="nil"/>
              <w:bottom w:val="single" w:sz="4" w:space="0" w:color="FFFFFF"/>
              <w:right w:val="single" w:sz="4" w:space="0" w:color="FFFFFF"/>
            </w:tcBorders>
            <w:shd w:val="clear" w:color="auto" w:fill="auto"/>
            <w:noWrap/>
            <w:vAlign w:val="center"/>
            <w:hideMark/>
          </w:tcPr>
          <w:p w14:paraId="097974B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1,712</w:t>
            </w:r>
          </w:p>
        </w:tc>
        <w:tc>
          <w:tcPr>
            <w:tcW w:w="611" w:type="pct"/>
            <w:tcBorders>
              <w:top w:val="nil"/>
              <w:left w:val="nil"/>
              <w:bottom w:val="single" w:sz="4" w:space="0" w:color="FFFFFF"/>
              <w:right w:val="single" w:sz="4" w:space="0" w:color="FFFFFF"/>
            </w:tcBorders>
            <w:shd w:val="clear" w:color="auto" w:fill="auto"/>
            <w:noWrap/>
            <w:vAlign w:val="center"/>
            <w:hideMark/>
          </w:tcPr>
          <w:p w14:paraId="137FE07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1,712</w:t>
            </w:r>
          </w:p>
        </w:tc>
      </w:tr>
      <w:tr w:rsidR="007940B2" w:rsidRPr="0011239F" w14:paraId="4F5B27B9"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734DDED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Financial Assets at Fair Value</w:t>
            </w:r>
          </w:p>
        </w:tc>
        <w:tc>
          <w:tcPr>
            <w:tcW w:w="616" w:type="pct"/>
            <w:tcBorders>
              <w:top w:val="nil"/>
              <w:left w:val="nil"/>
              <w:bottom w:val="single" w:sz="4" w:space="0" w:color="FFFFFF"/>
              <w:right w:val="single" w:sz="4" w:space="0" w:color="FFFFFF"/>
            </w:tcBorders>
            <w:shd w:val="clear" w:color="auto" w:fill="auto"/>
            <w:noWrap/>
            <w:vAlign w:val="center"/>
            <w:hideMark/>
          </w:tcPr>
          <w:p w14:paraId="0D6A6EF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472FCEA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1016A24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2626B59"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770FC01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Assets</w:t>
            </w:r>
          </w:p>
        </w:tc>
        <w:tc>
          <w:tcPr>
            <w:tcW w:w="616" w:type="pct"/>
            <w:tcBorders>
              <w:top w:val="nil"/>
              <w:left w:val="nil"/>
              <w:bottom w:val="single" w:sz="4" w:space="0" w:color="FFFFFF"/>
              <w:right w:val="single" w:sz="4" w:space="0" w:color="FFFFFF"/>
            </w:tcBorders>
            <w:shd w:val="clear" w:color="auto" w:fill="auto"/>
            <w:noWrap/>
            <w:vAlign w:val="center"/>
            <w:hideMark/>
          </w:tcPr>
          <w:p w14:paraId="3248408A" w14:textId="340CD295" w:rsidR="007940B2" w:rsidRPr="0011239F" w:rsidRDefault="00A71949"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8E0CB6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02E8A72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0EBAC8C"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04BD14C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6" w:type="pct"/>
            <w:tcBorders>
              <w:top w:val="nil"/>
              <w:left w:val="nil"/>
              <w:bottom w:val="single" w:sz="4" w:space="0" w:color="FFFFFF"/>
              <w:right w:val="single" w:sz="4" w:space="0" w:color="FFFFFF"/>
            </w:tcBorders>
            <w:shd w:val="clear" w:color="auto" w:fill="auto"/>
            <w:noWrap/>
            <w:vAlign w:val="center"/>
            <w:hideMark/>
          </w:tcPr>
          <w:p w14:paraId="64D389F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2260708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68C9631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C2158C0" w14:textId="77777777" w:rsidTr="003C6E9F">
        <w:trPr>
          <w:trHeight w:val="225"/>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3C47310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Assets Held </w:t>
            </w:r>
            <w:proofErr w:type="gramStart"/>
            <w:r w:rsidRPr="0011239F">
              <w:rPr>
                <w:rFonts w:ascii="Arial" w:hAnsi="Arial" w:cs="Arial"/>
                <w:color w:val="000000"/>
                <w:sz w:val="18"/>
                <w:szCs w:val="18"/>
                <w:lang w:eastAsia="en-AU"/>
              </w:rPr>
              <w:t>For</w:t>
            </w:r>
            <w:proofErr w:type="gramEnd"/>
            <w:r w:rsidRPr="0011239F">
              <w:rPr>
                <w:rFonts w:ascii="Arial" w:hAnsi="Arial" w:cs="Arial"/>
                <w:color w:val="000000"/>
                <w:sz w:val="18"/>
                <w:szCs w:val="18"/>
                <w:lang w:eastAsia="en-AU"/>
              </w:rPr>
              <w:t xml:space="preserve"> Sale</w:t>
            </w:r>
          </w:p>
        </w:tc>
        <w:tc>
          <w:tcPr>
            <w:tcW w:w="616" w:type="pct"/>
            <w:tcBorders>
              <w:top w:val="nil"/>
              <w:left w:val="nil"/>
              <w:bottom w:val="single" w:sz="4" w:space="0" w:color="auto"/>
              <w:right w:val="single" w:sz="4" w:space="0" w:color="FFFFFF"/>
            </w:tcBorders>
            <w:shd w:val="clear" w:color="auto" w:fill="auto"/>
            <w:noWrap/>
            <w:vAlign w:val="center"/>
            <w:hideMark/>
          </w:tcPr>
          <w:p w14:paraId="122FCB6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auto"/>
              <w:right w:val="single" w:sz="4" w:space="0" w:color="FFFFFF"/>
            </w:tcBorders>
            <w:shd w:val="clear" w:color="auto" w:fill="auto"/>
            <w:noWrap/>
            <w:vAlign w:val="center"/>
            <w:hideMark/>
          </w:tcPr>
          <w:p w14:paraId="4E9B18A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auto"/>
              <w:right w:val="single" w:sz="4" w:space="0" w:color="FFFFFF"/>
            </w:tcBorders>
            <w:shd w:val="clear" w:color="auto" w:fill="auto"/>
            <w:noWrap/>
            <w:vAlign w:val="center"/>
            <w:hideMark/>
          </w:tcPr>
          <w:p w14:paraId="2F0E215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D9D26FC" w14:textId="77777777" w:rsidTr="00A11350">
        <w:trPr>
          <w:trHeight w:val="340"/>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3656914C"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Current Assets</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3210D864"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14,288</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4B4A4E9E"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12,220</w:t>
            </w:r>
          </w:p>
        </w:tc>
        <w:tc>
          <w:tcPr>
            <w:tcW w:w="611" w:type="pct"/>
            <w:tcBorders>
              <w:top w:val="single" w:sz="4" w:space="0" w:color="FFFFFF"/>
              <w:left w:val="nil"/>
              <w:bottom w:val="single" w:sz="4" w:space="0" w:color="FFFFFF"/>
              <w:right w:val="single" w:sz="4" w:space="0" w:color="FFFFFF"/>
            </w:tcBorders>
            <w:shd w:val="clear" w:color="auto" w:fill="auto"/>
            <w:noWrap/>
            <w:vAlign w:val="center"/>
            <w:hideMark/>
          </w:tcPr>
          <w:p w14:paraId="7CB6D88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10,288</w:t>
            </w:r>
          </w:p>
        </w:tc>
      </w:tr>
      <w:tr w:rsidR="007940B2" w:rsidRPr="0011239F" w14:paraId="36A6C0D7"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60ED3BBB" w14:textId="77777777" w:rsidR="007940B2" w:rsidRPr="0011239F" w:rsidRDefault="007940B2" w:rsidP="003C6E9F">
            <w:pPr>
              <w:rPr>
                <w:rFonts w:ascii="Arial" w:hAnsi="Arial" w:cs="Arial"/>
                <w:b/>
                <w:bCs/>
                <w:sz w:val="18"/>
                <w:szCs w:val="18"/>
                <w:lang w:eastAsia="en-AU"/>
              </w:rPr>
            </w:pPr>
            <w:proofErr w:type="spellStart"/>
            <w:proofErr w:type="gramStart"/>
            <w:r w:rsidRPr="0011239F">
              <w:rPr>
                <w:rFonts w:ascii="Arial" w:hAnsi="Arial" w:cs="Arial"/>
                <w:b/>
                <w:bCs/>
                <w:sz w:val="18"/>
                <w:szCs w:val="18"/>
                <w:lang w:eastAsia="en-AU"/>
              </w:rPr>
              <w:t>Non Current</w:t>
            </w:r>
            <w:proofErr w:type="spellEnd"/>
            <w:proofErr w:type="gramEnd"/>
            <w:r w:rsidRPr="0011239F">
              <w:rPr>
                <w:rFonts w:ascii="Arial" w:hAnsi="Arial" w:cs="Arial"/>
                <w:b/>
                <w:bCs/>
                <w:sz w:val="18"/>
                <w:szCs w:val="18"/>
                <w:lang w:eastAsia="en-AU"/>
              </w:rPr>
              <w:t xml:space="preserve"> Assets</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081958E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4F73E22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1" w:type="pct"/>
            <w:tcBorders>
              <w:top w:val="single" w:sz="4" w:space="0" w:color="auto"/>
              <w:left w:val="nil"/>
              <w:bottom w:val="single" w:sz="4" w:space="0" w:color="FFFFFF"/>
              <w:right w:val="single" w:sz="4" w:space="0" w:color="FFFFFF"/>
            </w:tcBorders>
            <w:shd w:val="clear" w:color="auto" w:fill="auto"/>
            <w:noWrap/>
            <w:vAlign w:val="center"/>
            <w:hideMark/>
          </w:tcPr>
          <w:p w14:paraId="2BB76B9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63F8DA8"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3640DB2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Receivable</w:t>
            </w:r>
          </w:p>
        </w:tc>
        <w:tc>
          <w:tcPr>
            <w:tcW w:w="616" w:type="pct"/>
            <w:tcBorders>
              <w:top w:val="nil"/>
              <w:left w:val="nil"/>
              <w:bottom w:val="single" w:sz="4" w:space="0" w:color="FFFFFF"/>
              <w:right w:val="single" w:sz="4" w:space="0" w:color="FFFFFF"/>
            </w:tcBorders>
            <w:shd w:val="clear" w:color="auto" w:fill="auto"/>
            <w:noWrap/>
            <w:vAlign w:val="center"/>
            <w:hideMark/>
          </w:tcPr>
          <w:p w14:paraId="712492A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231BEE6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0196EE4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A2FDD70"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1F2A2F8A"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Receivables</w:t>
            </w:r>
          </w:p>
        </w:tc>
        <w:tc>
          <w:tcPr>
            <w:tcW w:w="616" w:type="pct"/>
            <w:tcBorders>
              <w:top w:val="nil"/>
              <w:left w:val="nil"/>
              <w:bottom w:val="single" w:sz="4" w:space="0" w:color="FFFFFF"/>
              <w:right w:val="single" w:sz="4" w:space="0" w:color="FFFFFF"/>
            </w:tcBorders>
            <w:shd w:val="clear" w:color="auto" w:fill="auto"/>
            <w:noWrap/>
            <w:vAlign w:val="center"/>
            <w:hideMark/>
          </w:tcPr>
          <w:p w14:paraId="306E876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B4C65F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5CEFE4F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4F1A2FA"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194F040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Inventories</w:t>
            </w:r>
          </w:p>
        </w:tc>
        <w:tc>
          <w:tcPr>
            <w:tcW w:w="616" w:type="pct"/>
            <w:tcBorders>
              <w:top w:val="nil"/>
              <w:left w:val="nil"/>
              <w:bottom w:val="single" w:sz="4" w:space="0" w:color="FFFFFF"/>
              <w:right w:val="single" w:sz="4" w:space="0" w:color="FFFFFF"/>
            </w:tcBorders>
            <w:shd w:val="clear" w:color="auto" w:fill="auto"/>
            <w:noWrap/>
            <w:vAlign w:val="center"/>
            <w:hideMark/>
          </w:tcPr>
          <w:p w14:paraId="075A619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315E26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0405935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70B5886"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25064A2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Financial Assets at Fair Value</w:t>
            </w:r>
          </w:p>
        </w:tc>
        <w:tc>
          <w:tcPr>
            <w:tcW w:w="616" w:type="pct"/>
            <w:tcBorders>
              <w:top w:val="nil"/>
              <w:left w:val="nil"/>
              <w:bottom w:val="single" w:sz="4" w:space="0" w:color="FFFFFF"/>
              <w:right w:val="single" w:sz="4" w:space="0" w:color="FFFFFF"/>
            </w:tcBorders>
            <w:shd w:val="clear" w:color="auto" w:fill="auto"/>
            <w:noWrap/>
            <w:vAlign w:val="center"/>
            <w:hideMark/>
          </w:tcPr>
          <w:p w14:paraId="7D56B0B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01C78AA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5F1EAE2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30AFF4E"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494FD50F"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Equity Investments</w:t>
            </w:r>
          </w:p>
        </w:tc>
        <w:tc>
          <w:tcPr>
            <w:tcW w:w="616" w:type="pct"/>
            <w:tcBorders>
              <w:top w:val="nil"/>
              <w:left w:val="nil"/>
              <w:bottom w:val="single" w:sz="4" w:space="0" w:color="FFFFFF"/>
              <w:right w:val="single" w:sz="4" w:space="0" w:color="FFFFFF"/>
            </w:tcBorders>
            <w:shd w:val="clear" w:color="auto" w:fill="auto"/>
            <w:noWrap/>
            <w:vAlign w:val="center"/>
            <w:hideMark/>
          </w:tcPr>
          <w:p w14:paraId="16AD8C2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1AE55BC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6BFEA4F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A3C233D"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77F1251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Property, Plant and Equipment -</w:t>
            </w:r>
          </w:p>
        </w:tc>
        <w:tc>
          <w:tcPr>
            <w:tcW w:w="616" w:type="pct"/>
            <w:tcBorders>
              <w:top w:val="nil"/>
              <w:left w:val="nil"/>
              <w:bottom w:val="single" w:sz="4" w:space="0" w:color="FFFFFF"/>
              <w:right w:val="single" w:sz="4" w:space="0" w:color="FFFFFF"/>
            </w:tcBorders>
            <w:shd w:val="clear" w:color="auto" w:fill="auto"/>
            <w:noWrap/>
            <w:vAlign w:val="center"/>
            <w:hideMark/>
          </w:tcPr>
          <w:p w14:paraId="792876F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nil"/>
              <w:left w:val="nil"/>
              <w:bottom w:val="single" w:sz="4" w:space="0" w:color="FFFFFF"/>
              <w:right w:val="single" w:sz="4" w:space="0" w:color="FFFFFF"/>
            </w:tcBorders>
            <w:shd w:val="clear" w:color="auto" w:fill="auto"/>
            <w:noWrap/>
            <w:vAlign w:val="center"/>
            <w:hideMark/>
          </w:tcPr>
          <w:p w14:paraId="2069922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1" w:type="pct"/>
            <w:tcBorders>
              <w:top w:val="nil"/>
              <w:left w:val="nil"/>
              <w:bottom w:val="single" w:sz="4" w:space="0" w:color="FFFFFF"/>
              <w:right w:val="single" w:sz="4" w:space="0" w:color="FFFFFF"/>
            </w:tcBorders>
            <w:shd w:val="clear" w:color="auto" w:fill="auto"/>
            <w:noWrap/>
            <w:vAlign w:val="center"/>
            <w:hideMark/>
          </w:tcPr>
          <w:p w14:paraId="0D192F6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39DCF24E"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1020A412"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Land and Building</w:t>
            </w:r>
          </w:p>
        </w:tc>
        <w:tc>
          <w:tcPr>
            <w:tcW w:w="616" w:type="pct"/>
            <w:tcBorders>
              <w:top w:val="nil"/>
              <w:left w:val="nil"/>
              <w:bottom w:val="single" w:sz="4" w:space="0" w:color="FFFFFF"/>
              <w:right w:val="single" w:sz="4" w:space="0" w:color="FFFFFF"/>
            </w:tcBorders>
            <w:shd w:val="clear" w:color="auto" w:fill="auto"/>
            <w:noWrap/>
            <w:vAlign w:val="center"/>
            <w:hideMark/>
          </w:tcPr>
          <w:p w14:paraId="4F42EFE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1,650</w:t>
            </w:r>
          </w:p>
        </w:tc>
        <w:tc>
          <w:tcPr>
            <w:tcW w:w="616" w:type="pct"/>
            <w:tcBorders>
              <w:top w:val="nil"/>
              <w:left w:val="nil"/>
              <w:bottom w:val="single" w:sz="4" w:space="0" w:color="FFFFFF"/>
              <w:right w:val="single" w:sz="4" w:space="0" w:color="FFFFFF"/>
            </w:tcBorders>
            <w:shd w:val="clear" w:color="auto" w:fill="auto"/>
            <w:noWrap/>
            <w:vAlign w:val="center"/>
            <w:hideMark/>
          </w:tcPr>
          <w:p w14:paraId="55FA2E9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1,532</w:t>
            </w:r>
          </w:p>
        </w:tc>
        <w:tc>
          <w:tcPr>
            <w:tcW w:w="611" w:type="pct"/>
            <w:tcBorders>
              <w:top w:val="nil"/>
              <w:left w:val="nil"/>
              <w:bottom w:val="single" w:sz="4" w:space="0" w:color="FFFFFF"/>
              <w:right w:val="single" w:sz="4" w:space="0" w:color="FFFFFF"/>
            </w:tcBorders>
            <w:shd w:val="clear" w:color="auto" w:fill="auto"/>
            <w:noWrap/>
            <w:vAlign w:val="center"/>
            <w:hideMark/>
          </w:tcPr>
          <w:p w14:paraId="79D9F6C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3,511</w:t>
            </w:r>
          </w:p>
        </w:tc>
      </w:tr>
      <w:tr w:rsidR="007940B2" w:rsidRPr="0011239F" w14:paraId="5F2509C0"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6C487539"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Plant and Equipment</w:t>
            </w:r>
          </w:p>
        </w:tc>
        <w:tc>
          <w:tcPr>
            <w:tcW w:w="616" w:type="pct"/>
            <w:tcBorders>
              <w:top w:val="nil"/>
              <w:left w:val="nil"/>
              <w:bottom w:val="single" w:sz="4" w:space="0" w:color="FFFFFF"/>
              <w:right w:val="single" w:sz="4" w:space="0" w:color="FFFFFF"/>
            </w:tcBorders>
            <w:shd w:val="clear" w:color="auto" w:fill="auto"/>
            <w:noWrap/>
            <w:vAlign w:val="center"/>
            <w:hideMark/>
          </w:tcPr>
          <w:p w14:paraId="32C5F23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277</w:t>
            </w:r>
          </w:p>
        </w:tc>
        <w:tc>
          <w:tcPr>
            <w:tcW w:w="616" w:type="pct"/>
            <w:tcBorders>
              <w:top w:val="nil"/>
              <w:left w:val="nil"/>
              <w:bottom w:val="single" w:sz="4" w:space="0" w:color="FFFFFF"/>
              <w:right w:val="single" w:sz="4" w:space="0" w:color="FFFFFF"/>
            </w:tcBorders>
            <w:shd w:val="clear" w:color="auto" w:fill="auto"/>
            <w:noWrap/>
            <w:vAlign w:val="center"/>
            <w:hideMark/>
          </w:tcPr>
          <w:p w14:paraId="6EE9C7A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467</w:t>
            </w:r>
          </w:p>
        </w:tc>
        <w:tc>
          <w:tcPr>
            <w:tcW w:w="611" w:type="pct"/>
            <w:tcBorders>
              <w:top w:val="nil"/>
              <w:left w:val="nil"/>
              <w:bottom w:val="single" w:sz="4" w:space="0" w:color="FFFFFF"/>
              <w:right w:val="single" w:sz="4" w:space="0" w:color="FFFFFF"/>
            </w:tcBorders>
            <w:shd w:val="clear" w:color="auto" w:fill="auto"/>
            <w:noWrap/>
            <w:vAlign w:val="center"/>
            <w:hideMark/>
          </w:tcPr>
          <w:p w14:paraId="199E0B5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463</w:t>
            </w:r>
          </w:p>
        </w:tc>
      </w:tr>
      <w:tr w:rsidR="007940B2" w:rsidRPr="0011239F" w14:paraId="3DFA7B1E"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2AF3F719" w14:textId="77777777" w:rsidR="007940B2" w:rsidRPr="0011239F" w:rsidRDefault="007940B2" w:rsidP="006D21C9">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Infrastructure Systems</w:t>
            </w:r>
          </w:p>
        </w:tc>
        <w:tc>
          <w:tcPr>
            <w:tcW w:w="616" w:type="pct"/>
            <w:tcBorders>
              <w:top w:val="nil"/>
              <w:left w:val="nil"/>
              <w:bottom w:val="single" w:sz="4" w:space="0" w:color="FFFFFF"/>
              <w:right w:val="single" w:sz="4" w:space="0" w:color="FFFFFF"/>
            </w:tcBorders>
            <w:shd w:val="clear" w:color="auto" w:fill="auto"/>
            <w:noWrap/>
            <w:vAlign w:val="center"/>
            <w:hideMark/>
          </w:tcPr>
          <w:p w14:paraId="6C5B469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04AFAD6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629D0CA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2BDE3D4"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4D5206B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Investment Properties</w:t>
            </w:r>
          </w:p>
        </w:tc>
        <w:tc>
          <w:tcPr>
            <w:tcW w:w="616" w:type="pct"/>
            <w:tcBorders>
              <w:top w:val="nil"/>
              <w:left w:val="nil"/>
              <w:bottom w:val="single" w:sz="4" w:space="0" w:color="FFFFFF"/>
              <w:right w:val="single" w:sz="4" w:space="0" w:color="FFFFFF"/>
            </w:tcBorders>
            <w:shd w:val="clear" w:color="auto" w:fill="auto"/>
            <w:noWrap/>
            <w:vAlign w:val="center"/>
            <w:hideMark/>
          </w:tcPr>
          <w:p w14:paraId="5ED7712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0A1C5EC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7D6DA77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DD1B6C4"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79DA425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Intangibles</w:t>
            </w:r>
          </w:p>
        </w:tc>
        <w:tc>
          <w:tcPr>
            <w:tcW w:w="616" w:type="pct"/>
            <w:tcBorders>
              <w:top w:val="nil"/>
              <w:left w:val="nil"/>
              <w:bottom w:val="single" w:sz="4" w:space="0" w:color="FFFFFF"/>
              <w:right w:val="single" w:sz="4" w:space="0" w:color="FFFFFF"/>
            </w:tcBorders>
            <w:shd w:val="clear" w:color="auto" w:fill="auto"/>
            <w:noWrap/>
            <w:vAlign w:val="center"/>
            <w:hideMark/>
          </w:tcPr>
          <w:p w14:paraId="4530B77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6,955</w:t>
            </w:r>
          </w:p>
        </w:tc>
        <w:tc>
          <w:tcPr>
            <w:tcW w:w="616" w:type="pct"/>
            <w:tcBorders>
              <w:top w:val="nil"/>
              <w:left w:val="nil"/>
              <w:bottom w:val="single" w:sz="4" w:space="0" w:color="FFFFFF"/>
              <w:right w:val="single" w:sz="4" w:space="0" w:color="FFFFFF"/>
            </w:tcBorders>
            <w:shd w:val="clear" w:color="auto" w:fill="auto"/>
            <w:noWrap/>
            <w:vAlign w:val="center"/>
            <w:hideMark/>
          </w:tcPr>
          <w:p w14:paraId="78FBF7D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7,870</w:t>
            </w:r>
          </w:p>
        </w:tc>
        <w:tc>
          <w:tcPr>
            <w:tcW w:w="611" w:type="pct"/>
            <w:tcBorders>
              <w:top w:val="nil"/>
              <w:left w:val="nil"/>
              <w:bottom w:val="single" w:sz="4" w:space="0" w:color="FFFFFF"/>
              <w:right w:val="single" w:sz="4" w:space="0" w:color="FFFFFF"/>
            </w:tcBorders>
            <w:shd w:val="clear" w:color="auto" w:fill="auto"/>
            <w:noWrap/>
            <w:vAlign w:val="center"/>
            <w:hideMark/>
          </w:tcPr>
          <w:p w14:paraId="755F231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7,940</w:t>
            </w:r>
          </w:p>
        </w:tc>
      </w:tr>
      <w:tr w:rsidR="007940B2" w:rsidRPr="0011239F" w14:paraId="604BE518" w14:textId="77777777" w:rsidTr="003C6E9F">
        <w:trPr>
          <w:trHeight w:val="225"/>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515D6AD3"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Assets</w:t>
            </w:r>
          </w:p>
        </w:tc>
        <w:tc>
          <w:tcPr>
            <w:tcW w:w="616" w:type="pct"/>
            <w:tcBorders>
              <w:top w:val="nil"/>
              <w:left w:val="nil"/>
              <w:bottom w:val="single" w:sz="4" w:space="0" w:color="auto"/>
              <w:right w:val="single" w:sz="4" w:space="0" w:color="FFFFFF"/>
            </w:tcBorders>
            <w:shd w:val="clear" w:color="auto" w:fill="auto"/>
            <w:noWrap/>
            <w:vAlign w:val="center"/>
            <w:hideMark/>
          </w:tcPr>
          <w:p w14:paraId="07D7F08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auto"/>
              <w:right w:val="single" w:sz="4" w:space="0" w:color="FFFFFF"/>
            </w:tcBorders>
            <w:shd w:val="clear" w:color="auto" w:fill="auto"/>
            <w:noWrap/>
            <w:vAlign w:val="center"/>
            <w:hideMark/>
          </w:tcPr>
          <w:p w14:paraId="023336A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auto"/>
              <w:right w:val="single" w:sz="4" w:space="0" w:color="FFFFFF"/>
            </w:tcBorders>
            <w:shd w:val="clear" w:color="auto" w:fill="auto"/>
            <w:noWrap/>
            <w:vAlign w:val="center"/>
            <w:hideMark/>
          </w:tcPr>
          <w:p w14:paraId="01C43C5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19E2456" w14:textId="77777777" w:rsidTr="00A11350">
        <w:trPr>
          <w:trHeight w:val="340"/>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5AA0B47C"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Total </w:t>
            </w:r>
            <w:proofErr w:type="spellStart"/>
            <w:proofErr w:type="gramStart"/>
            <w:r w:rsidRPr="0011239F">
              <w:rPr>
                <w:rFonts w:ascii="Arial" w:hAnsi="Arial" w:cs="Arial"/>
                <w:b/>
                <w:bCs/>
                <w:color w:val="25A9E1"/>
                <w:sz w:val="18"/>
                <w:szCs w:val="18"/>
                <w:lang w:eastAsia="en-AU"/>
              </w:rPr>
              <w:t>Non Current</w:t>
            </w:r>
            <w:proofErr w:type="spellEnd"/>
            <w:proofErr w:type="gramEnd"/>
            <w:r w:rsidRPr="0011239F">
              <w:rPr>
                <w:rFonts w:ascii="Arial" w:hAnsi="Arial" w:cs="Arial"/>
                <w:b/>
                <w:bCs/>
                <w:color w:val="25A9E1"/>
                <w:sz w:val="18"/>
                <w:szCs w:val="18"/>
                <w:lang w:eastAsia="en-AU"/>
              </w:rPr>
              <w:t xml:space="preserve"> Assets</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6238EB6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8,881</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3CAB15D9"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9,869</w:t>
            </w:r>
          </w:p>
        </w:tc>
        <w:tc>
          <w:tcPr>
            <w:tcW w:w="611" w:type="pct"/>
            <w:tcBorders>
              <w:top w:val="single" w:sz="4" w:space="0" w:color="FFFFFF"/>
              <w:left w:val="nil"/>
              <w:bottom w:val="single" w:sz="4" w:space="0" w:color="FFFFFF"/>
              <w:right w:val="single" w:sz="4" w:space="0" w:color="FFFFFF"/>
            </w:tcBorders>
            <w:shd w:val="clear" w:color="auto" w:fill="auto"/>
            <w:noWrap/>
            <w:vAlign w:val="center"/>
            <w:hideMark/>
          </w:tcPr>
          <w:p w14:paraId="0A71FA5B"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11,914</w:t>
            </w:r>
          </w:p>
        </w:tc>
      </w:tr>
      <w:tr w:rsidR="007940B2" w:rsidRPr="0011239F" w14:paraId="124B7514" w14:textId="77777777" w:rsidTr="00A11350">
        <w:trPr>
          <w:trHeight w:val="340"/>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3AE4E8AF"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Assets</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7ABF5B8F"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23,168</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1A2882EC"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22,089</w:t>
            </w:r>
          </w:p>
        </w:tc>
        <w:tc>
          <w:tcPr>
            <w:tcW w:w="611" w:type="pct"/>
            <w:tcBorders>
              <w:top w:val="single" w:sz="4" w:space="0" w:color="auto"/>
              <w:left w:val="nil"/>
              <w:bottom w:val="single" w:sz="4" w:space="0" w:color="auto"/>
              <w:right w:val="single" w:sz="4" w:space="0" w:color="FFFFFF"/>
            </w:tcBorders>
            <w:shd w:val="clear" w:color="auto" w:fill="auto"/>
            <w:noWrap/>
            <w:vAlign w:val="center"/>
            <w:hideMark/>
          </w:tcPr>
          <w:p w14:paraId="1F3368E2"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22,202</w:t>
            </w:r>
          </w:p>
        </w:tc>
      </w:tr>
      <w:tr w:rsidR="007940B2" w:rsidRPr="0011239F" w14:paraId="64187DAF"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73D744F9"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Liabilities</w:t>
            </w:r>
          </w:p>
        </w:tc>
        <w:tc>
          <w:tcPr>
            <w:tcW w:w="616" w:type="pct"/>
            <w:tcBorders>
              <w:top w:val="nil"/>
              <w:left w:val="nil"/>
              <w:bottom w:val="single" w:sz="4" w:space="0" w:color="FFFFFF"/>
              <w:right w:val="single" w:sz="4" w:space="0" w:color="FFFFFF"/>
            </w:tcBorders>
            <w:shd w:val="clear" w:color="auto" w:fill="auto"/>
            <w:noWrap/>
            <w:vAlign w:val="center"/>
            <w:hideMark/>
          </w:tcPr>
          <w:p w14:paraId="247DF3F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nil"/>
              <w:left w:val="nil"/>
              <w:bottom w:val="single" w:sz="4" w:space="0" w:color="FFFFFF"/>
              <w:right w:val="single" w:sz="4" w:space="0" w:color="FFFFFF"/>
            </w:tcBorders>
            <w:shd w:val="clear" w:color="auto" w:fill="auto"/>
            <w:noWrap/>
            <w:vAlign w:val="center"/>
            <w:hideMark/>
          </w:tcPr>
          <w:p w14:paraId="0F0495E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1" w:type="pct"/>
            <w:tcBorders>
              <w:top w:val="nil"/>
              <w:left w:val="nil"/>
              <w:bottom w:val="single" w:sz="4" w:space="0" w:color="FFFFFF"/>
              <w:right w:val="single" w:sz="4" w:space="0" w:color="FFFFFF"/>
            </w:tcBorders>
            <w:shd w:val="clear" w:color="auto" w:fill="auto"/>
            <w:noWrap/>
            <w:vAlign w:val="center"/>
            <w:hideMark/>
          </w:tcPr>
          <w:p w14:paraId="3DF7BCF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20F1DCC"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1A9A8063" w14:textId="77777777" w:rsidR="007940B2" w:rsidRPr="0011239F" w:rsidRDefault="007940B2" w:rsidP="003C6E9F">
            <w:pPr>
              <w:rPr>
                <w:rFonts w:ascii="Arial" w:hAnsi="Arial" w:cs="Arial"/>
                <w:b/>
                <w:bCs/>
                <w:sz w:val="18"/>
                <w:szCs w:val="18"/>
                <w:lang w:eastAsia="en-AU"/>
              </w:rPr>
            </w:pPr>
            <w:r w:rsidRPr="0011239F">
              <w:rPr>
                <w:rFonts w:ascii="Arial" w:hAnsi="Arial" w:cs="Arial"/>
                <w:b/>
                <w:bCs/>
                <w:sz w:val="18"/>
                <w:szCs w:val="18"/>
                <w:lang w:eastAsia="en-AU"/>
              </w:rPr>
              <w:t>Current Liabilities</w:t>
            </w:r>
          </w:p>
        </w:tc>
        <w:tc>
          <w:tcPr>
            <w:tcW w:w="616" w:type="pct"/>
            <w:tcBorders>
              <w:top w:val="nil"/>
              <w:left w:val="nil"/>
              <w:bottom w:val="single" w:sz="4" w:space="0" w:color="FFFFFF"/>
              <w:right w:val="single" w:sz="4" w:space="0" w:color="FFFFFF"/>
            </w:tcBorders>
            <w:shd w:val="clear" w:color="auto" w:fill="auto"/>
            <w:noWrap/>
            <w:vAlign w:val="center"/>
            <w:hideMark/>
          </w:tcPr>
          <w:p w14:paraId="343C195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nil"/>
              <w:left w:val="nil"/>
              <w:bottom w:val="single" w:sz="4" w:space="0" w:color="FFFFFF"/>
              <w:right w:val="single" w:sz="4" w:space="0" w:color="FFFFFF"/>
            </w:tcBorders>
            <w:shd w:val="clear" w:color="auto" w:fill="auto"/>
            <w:noWrap/>
            <w:vAlign w:val="center"/>
            <w:hideMark/>
          </w:tcPr>
          <w:p w14:paraId="00A46A4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1" w:type="pct"/>
            <w:tcBorders>
              <w:top w:val="nil"/>
              <w:left w:val="nil"/>
              <w:bottom w:val="single" w:sz="4" w:space="0" w:color="FFFFFF"/>
              <w:right w:val="single" w:sz="4" w:space="0" w:color="FFFFFF"/>
            </w:tcBorders>
            <w:shd w:val="clear" w:color="auto" w:fill="auto"/>
            <w:noWrap/>
            <w:vAlign w:val="center"/>
            <w:hideMark/>
          </w:tcPr>
          <w:p w14:paraId="3E8F146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0A1C1117"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68F6E0A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Payable</w:t>
            </w:r>
          </w:p>
        </w:tc>
        <w:tc>
          <w:tcPr>
            <w:tcW w:w="616" w:type="pct"/>
            <w:tcBorders>
              <w:top w:val="nil"/>
              <w:left w:val="nil"/>
              <w:bottom w:val="single" w:sz="4" w:space="0" w:color="FFFFFF"/>
              <w:right w:val="single" w:sz="4" w:space="0" w:color="FFFFFF"/>
            </w:tcBorders>
            <w:shd w:val="clear" w:color="auto" w:fill="auto"/>
            <w:noWrap/>
            <w:vAlign w:val="center"/>
            <w:hideMark/>
          </w:tcPr>
          <w:p w14:paraId="6214E2F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56552E4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1CDDF56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EB49646"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71C85A5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Payables</w:t>
            </w:r>
          </w:p>
        </w:tc>
        <w:tc>
          <w:tcPr>
            <w:tcW w:w="616" w:type="pct"/>
            <w:tcBorders>
              <w:top w:val="nil"/>
              <w:left w:val="nil"/>
              <w:bottom w:val="single" w:sz="4" w:space="0" w:color="FFFFFF"/>
              <w:right w:val="single" w:sz="4" w:space="0" w:color="FFFFFF"/>
            </w:tcBorders>
            <w:shd w:val="clear" w:color="auto" w:fill="auto"/>
            <w:noWrap/>
            <w:vAlign w:val="center"/>
            <w:hideMark/>
          </w:tcPr>
          <w:p w14:paraId="2E3DFA1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9,773</w:t>
            </w:r>
          </w:p>
        </w:tc>
        <w:tc>
          <w:tcPr>
            <w:tcW w:w="616" w:type="pct"/>
            <w:tcBorders>
              <w:top w:val="nil"/>
              <w:left w:val="nil"/>
              <w:bottom w:val="single" w:sz="4" w:space="0" w:color="FFFFFF"/>
              <w:right w:val="single" w:sz="4" w:space="0" w:color="FFFFFF"/>
            </w:tcBorders>
            <w:shd w:val="clear" w:color="auto" w:fill="auto"/>
            <w:noWrap/>
            <w:vAlign w:val="center"/>
            <w:hideMark/>
          </w:tcPr>
          <w:p w14:paraId="1AB1345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10,210</w:t>
            </w:r>
          </w:p>
        </w:tc>
        <w:tc>
          <w:tcPr>
            <w:tcW w:w="611" w:type="pct"/>
            <w:tcBorders>
              <w:top w:val="nil"/>
              <w:left w:val="nil"/>
              <w:bottom w:val="single" w:sz="4" w:space="0" w:color="FFFFFF"/>
              <w:right w:val="single" w:sz="4" w:space="0" w:color="FFFFFF"/>
            </w:tcBorders>
            <w:shd w:val="clear" w:color="auto" w:fill="auto"/>
            <w:noWrap/>
            <w:vAlign w:val="center"/>
            <w:hideMark/>
          </w:tcPr>
          <w:p w14:paraId="1B3155C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10,210</w:t>
            </w:r>
          </w:p>
        </w:tc>
      </w:tr>
      <w:tr w:rsidR="007940B2" w:rsidRPr="0011239F" w14:paraId="63BA2439"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00F5D34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Liabilities at Fair Value</w:t>
            </w:r>
          </w:p>
        </w:tc>
        <w:tc>
          <w:tcPr>
            <w:tcW w:w="616" w:type="pct"/>
            <w:tcBorders>
              <w:top w:val="nil"/>
              <w:left w:val="nil"/>
              <w:bottom w:val="single" w:sz="4" w:space="0" w:color="FFFFFF"/>
              <w:right w:val="single" w:sz="4" w:space="0" w:color="FFFFFF"/>
            </w:tcBorders>
            <w:shd w:val="clear" w:color="auto" w:fill="auto"/>
            <w:noWrap/>
            <w:vAlign w:val="center"/>
            <w:hideMark/>
          </w:tcPr>
          <w:p w14:paraId="71B5ED3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6B5AC60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146AE40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079231E"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770C967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Borrowings</w:t>
            </w:r>
          </w:p>
        </w:tc>
        <w:tc>
          <w:tcPr>
            <w:tcW w:w="616" w:type="pct"/>
            <w:tcBorders>
              <w:top w:val="nil"/>
              <w:left w:val="nil"/>
              <w:bottom w:val="single" w:sz="4" w:space="0" w:color="FFFFFF"/>
              <w:right w:val="single" w:sz="4" w:space="0" w:color="FFFFFF"/>
            </w:tcBorders>
            <w:shd w:val="clear" w:color="auto" w:fill="auto"/>
            <w:noWrap/>
            <w:vAlign w:val="center"/>
            <w:hideMark/>
          </w:tcPr>
          <w:p w14:paraId="38F450E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0FD1994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76F0D71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591</w:t>
            </w:r>
          </w:p>
        </w:tc>
      </w:tr>
      <w:tr w:rsidR="007940B2" w:rsidRPr="0011239F" w14:paraId="2F1366E3"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1244F69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Provisions</w:t>
            </w:r>
          </w:p>
        </w:tc>
        <w:tc>
          <w:tcPr>
            <w:tcW w:w="616" w:type="pct"/>
            <w:tcBorders>
              <w:top w:val="nil"/>
              <w:left w:val="nil"/>
              <w:bottom w:val="single" w:sz="4" w:space="0" w:color="FFFFFF"/>
              <w:right w:val="single" w:sz="4" w:space="0" w:color="FFFFFF"/>
            </w:tcBorders>
            <w:shd w:val="clear" w:color="auto" w:fill="auto"/>
            <w:noWrap/>
            <w:vAlign w:val="center"/>
            <w:hideMark/>
          </w:tcPr>
          <w:p w14:paraId="7AB3C2C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4,532</w:t>
            </w:r>
          </w:p>
        </w:tc>
        <w:tc>
          <w:tcPr>
            <w:tcW w:w="616" w:type="pct"/>
            <w:tcBorders>
              <w:top w:val="nil"/>
              <w:left w:val="nil"/>
              <w:bottom w:val="single" w:sz="4" w:space="0" w:color="FFFFFF"/>
              <w:right w:val="single" w:sz="4" w:space="0" w:color="FFFFFF"/>
            </w:tcBorders>
            <w:shd w:val="clear" w:color="auto" w:fill="auto"/>
            <w:noWrap/>
            <w:vAlign w:val="center"/>
            <w:hideMark/>
          </w:tcPr>
          <w:p w14:paraId="5D44760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4,532</w:t>
            </w:r>
          </w:p>
        </w:tc>
        <w:tc>
          <w:tcPr>
            <w:tcW w:w="611" w:type="pct"/>
            <w:tcBorders>
              <w:top w:val="nil"/>
              <w:left w:val="nil"/>
              <w:bottom w:val="single" w:sz="4" w:space="0" w:color="FFFFFF"/>
              <w:right w:val="single" w:sz="4" w:space="0" w:color="FFFFFF"/>
            </w:tcBorders>
            <w:shd w:val="clear" w:color="auto" w:fill="auto"/>
            <w:noWrap/>
            <w:vAlign w:val="center"/>
            <w:hideMark/>
          </w:tcPr>
          <w:p w14:paraId="266FEE3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4,532</w:t>
            </w:r>
          </w:p>
        </w:tc>
      </w:tr>
      <w:tr w:rsidR="007940B2" w:rsidRPr="0011239F" w14:paraId="15A69C61"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165EEC4F"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6" w:type="pct"/>
            <w:tcBorders>
              <w:top w:val="nil"/>
              <w:left w:val="nil"/>
              <w:bottom w:val="single" w:sz="4" w:space="0" w:color="FFFFFF"/>
              <w:right w:val="single" w:sz="4" w:space="0" w:color="FFFFFF"/>
            </w:tcBorders>
            <w:shd w:val="clear" w:color="auto" w:fill="auto"/>
            <w:noWrap/>
            <w:vAlign w:val="center"/>
            <w:hideMark/>
          </w:tcPr>
          <w:p w14:paraId="529C3E0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8,294</w:t>
            </w:r>
          </w:p>
        </w:tc>
        <w:tc>
          <w:tcPr>
            <w:tcW w:w="616" w:type="pct"/>
            <w:tcBorders>
              <w:top w:val="nil"/>
              <w:left w:val="nil"/>
              <w:bottom w:val="single" w:sz="4" w:space="0" w:color="FFFFFF"/>
              <w:right w:val="single" w:sz="4" w:space="0" w:color="FFFFFF"/>
            </w:tcBorders>
            <w:shd w:val="clear" w:color="auto" w:fill="auto"/>
            <w:noWrap/>
            <w:vAlign w:val="center"/>
            <w:hideMark/>
          </w:tcPr>
          <w:p w14:paraId="4F03AC1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8,294</w:t>
            </w:r>
          </w:p>
        </w:tc>
        <w:tc>
          <w:tcPr>
            <w:tcW w:w="611" w:type="pct"/>
            <w:tcBorders>
              <w:top w:val="nil"/>
              <w:left w:val="nil"/>
              <w:bottom w:val="single" w:sz="4" w:space="0" w:color="FFFFFF"/>
              <w:right w:val="single" w:sz="4" w:space="0" w:color="FFFFFF"/>
            </w:tcBorders>
            <w:shd w:val="clear" w:color="auto" w:fill="auto"/>
            <w:noWrap/>
            <w:vAlign w:val="center"/>
            <w:hideMark/>
          </w:tcPr>
          <w:p w14:paraId="5AEEC91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8,294</w:t>
            </w:r>
          </w:p>
        </w:tc>
      </w:tr>
      <w:tr w:rsidR="007940B2" w:rsidRPr="0011239F" w14:paraId="36A006C3"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33CA013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Liabilities Associated with Assets Held for Sale</w:t>
            </w:r>
          </w:p>
        </w:tc>
        <w:tc>
          <w:tcPr>
            <w:tcW w:w="616" w:type="pct"/>
            <w:tcBorders>
              <w:top w:val="nil"/>
              <w:left w:val="nil"/>
              <w:bottom w:val="single" w:sz="4" w:space="0" w:color="auto"/>
              <w:right w:val="single" w:sz="4" w:space="0" w:color="FFFFFF"/>
            </w:tcBorders>
            <w:shd w:val="clear" w:color="auto" w:fill="auto"/>
            <w:noWrap/>
            <w:vAlign w:val="center"/>
            <w:hideMark/>
          </w:tcPr>
          <w:p w14:paraId="679D7B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auto"/>
              <w:right w:val="single" w:sz="4" w:space="0" w:color="FFFFFF"/>
            </w:tcBorders>
            <w:shd w:val="clear" w:color="auto" w:fill="auto"/>
            <w:noWrap/>
            <w:vAlign w:val="center"/>
            <w:hideMark/>
          </w:tcPr>
          <w:p w14:paraId="1FA5A1C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auto"/>
              <w:right w:val="single" w:sz="4" w:space="0" w:color="FFFFFF"/>
            </w:tcBorders>
            <w:shd w:val="clear" w:color="auto" w:fill="auto"/>
            <w:noWrap/>
            <w:vAlign w:val="center"/>
            <w:hideMark/>
          </w:tcPr>
          <w:p w14:paraId="303D317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FC0CDA3" w14:textId="77777777" w:rsidTr="005920E4">
        <w:trPr>
          <w:trHeight w:val="340"/>
        </w:trPr>
        <w:tc>
          <w:tcPr>
            <w:tcW w:w="3157"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343040D4"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Current Liabilities</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3A33E4A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22,599</w:t>
            </w:r>
          </w:p>
        </w:tc>
        <w:tc>
          <w:tcPr>
            <w:tcW w:w="616" w:type="pct"/>
            <w:tcBorders>
              <w:top w:val="single" w:sz="4" w:space="0" w:color="FFFFFF"/>
              <w:left w:val="nil"/>
              <w:bottom w:val="single" w:sz="4" w:space="0" w:color="FFFFFF"/>
              <w:right w:val="single" w:sz="4" w:space="0" w:color="FFFFFF"/>
            </w:tcBorders>
            <w:shd w:val="clear" w:color="auto" w:fill="auto"/>
            <w:noWrap/>
            <w:vAlign w:val="center"/>
            <w:hideMark/>
          </w:tcPr>
          <w:p w14:paraId="73D69F45"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23,036</w:t>
            </w:r>
          </w:p>
        </w:tc>
        <w:tc>
          <w:tcPr>
            <w:tcW w:w="611" w:type="pct"/>
            <w:tcBorders>
              <w:top w:val="single" w:sz="4" w:space="0" w:color="FFFFFF"/>
              <w:left w:val="nil"/>
              <w:bottom w:val="single" w:sz="4" w:space="0" w:color="FFFFFF"/>
              <w:right w:val="single" w:sz="4" w:space="0" w:color="FFFFFF"/>
            </w:tcBorders>
            <w:shd w:val="clear" w:color="auto" w:fill="auto"/>
            <w:noWrap/>
            <w:vAlign w:val="center"/>
            <w:hideMark/>
          </w:tcPr>
          <w:p w14:paraId="0BA90F6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23,627</w:t>
            </w:r>
          </w:p>
        </w:tc>
      </w:tr>
      <w:tr w:rsidR="007940B2" w:rsidRPr="0011239F" w14:paraId="372BF8CF"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529DE3A5" w14:textId="77777777" w:rsidR="007940B2" w:rsidRPr="0011239F" w:rsidRDefault="007940B2" w:rsidP="003C6E9F">
            <w:pPr>
              <w:rPr>
                <w:rFonts w:ascii="Arial" w:hAnsi="Arial" w:cs="Arial"/>
                <w:b/>
                <w:bCs/>
                <w:sz w:val="18"/>
                <w:szCs w:val="18"/>
                <w:lang w:eastAsia="en-AU"/>
              </w:rPr>
            </w:pPr>
            <w:proofErr w:type="spellStart"/>
            <w:proofErr w:type="gramStart"/>
            <w:r w:rsidRPr="0011239F">
              <w:rPr>
                <w:rFonts w:ascii="Arial" w:hAnsi="Arial" w:cs="Arial"/>
                <w:b/>
                <w:bCs/>
                <w:sz w:val="18"/>
                <w:szCs w:val="18"/>
                <w:lang w:eastAsia="en-AU"/>
              </w:rPr>
              <w:t>Non Current</w:t>
            </w:r>
            <w:proofErr w:type="spellEnd"/>
            <w:proofErr w:type="gramEnd"/>
            <w:r w:rsidRPr="0011239F">
              <w:rPr>
                <w:rFonts w:ascii="Arial" w:hAnsi="Arial" w:cs="Arial"/>
                <w:b/>
                <w:bCs/>
                <w:sz w:val="18"/>
                <w:szCs w:val="18"/>
                <w:lang w:eastAsia="en-AU"/>
              </w:rPr>
              <w:t xml:space="preserve"> Liabilities</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0E330D7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single" w:sz="4" w:space="0" w:color="auto"/>
              <w:left w:val="nil"/>
              <w:bottom w:val="single" w:sz="4" w:space="0" w:color="FFFFFF"/>
              <w:right w:val="single" w:sz="4" w:space="0" w:color="FFFFFF"/>
            </w:tcBorders>
            <w:shd w:val="clear" w:color="auto" w:fill="auto"/>
            <w:noWrap/>
            <w:vAlign w:val="center"/>
            <w:hideMark/>
          </w:tcPr>
          <w:p w14:paraId="5798E7A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1" w:type="pct"/>
            <w:tcBorders>
              <w:top w:val="single" w:sz="4" w:space="0" w:color="auto"/>
              <w:left w:val="nil"/>
              <w:bottom w:val="single" w:sz="4" w:space="0" w:color="FFFFFF"/>
              <w:right w:val="single" w:sz="4" w:space="0" w:color="FFFFFF"/>
            </w:tcBorders>
            <w:shd w:val="clear" w:color="auto" w:fill="auto"/>
            <w:noWrap/>
            <w:vAlign w:val="center"/>
            <w:hideMark/>
          </w:tcPr>
          <w:p w14:paraId="1FFC8FF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51D59CED"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2CF4DD4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Payable</w:t>
            </w:r>
          </w:p>
        </w:tc>
        <w:tc>
          <w:tcPr>
            <w:tcW w:w="616" w:type="pct"/>
            <w:tcBorders>
              <w:top w:val="nil"/>
              <w:left w:val="nil"/>
              <w:bottom w:val="single" w:sz="4" w:space="0" w:color="FFFFFF"/>
              <w:right w:val="single" w:sz="4" w:space="0" w:color="FFFFFF"/>
            </w:tcBorders>
            <w:shd w:val="clear" w:color="auto" w:fill="auto"/>
            <w:noWrap/>
            <w:vAlign w:val="center"/>
            <w:hideMark/>
          </w:tcPr>
          <w:p w14:paraId="48D938C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50649B5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3EA8190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3FC2105"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0AF21973"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Payables</w:t>
            </w:r>
          </w:p>
        </w:tc>
        <w:tc>
          <w:tcPr>
            <w:tcW w:w="616" w:type="pct"/>
            <w:tcBorders>
              <w:top w:val="nil"/>
              <w:left w:val="nil"/>
              <w:bottom w:val="single" w:sz="4" w:space="0" w:color="FFFFFF"/>
              <w:right w:val="single" w:sz="4" w:space="0" w:color="FFFFFF"/>
            </w:tcBorders>
            <w:shd w:val="clear" w:color="auto" w:fill="auto"/>
            <w:noWrap/>
            <w:vAlign w:val="center"/>
            <w:hideMark/>
          </w:tcPr>
          <w:p w14:paraId="04C7131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643429A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402FC74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C3E0547"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7A8B81D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Liabilities at Fair Value</w:t>
            </w:r>
          </w:p>
        </w:tc>
        <w:tc>
          <w:tcPr>
            <w:tcW w:w="616" w:type="pct"/>
            <w:tcBorders>
              <w:top w:val="nil"/>
              <w:left w:val="nil"/>
              <w:bottom w:val="single" w:sz="4" w:space="0" w:color="FFFFFF"/>
              <w:right w:val="single" w:sz="4" w:space="0" w:color="FFFFFF"/>
            </w:tcBorders>
            <w:shd w:val="clear" w:color="auto" w:fill="auto"/>
            <w:noWrap/>
            <w:vAlign w:val="center"/>
            <w:hideMark/>
          </w:tcPr>
          <w:p w14:paraId="550060A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0A88E12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4033548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442988B"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425D268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Borrowings</w:t>
            </w:r>
          </w:p>
        </w:tc>
        <w:tc>
          <w:tcPr>
            <w:tcW w:w="616" w:type="pct"/>
            <w:tcBorders>
              <w:top w:val="nil"/>
              <w:left w:val="nil"/>
              <w:bottom w:val="single" w:sz="4" w:space="0" w:color="FFFFFF"/>
              <w:right w:val="single" w:sz="4" w:space="0" w:color="FFFFFF"/>
            </w:tcBorders>
            <w:shd w:val="clear" w:color="auto" w:fill="auto"/>
            <w:noWrap/>
            <w:vAlign w:val="center"/>
            <w:hideMark/>
          </w:tcPr>
          <w:p w14:paraId="0A9C93B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33DB989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0A78B84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1,483</w:t>
            </w:r>
          </w:p>
        </w:tc>
      </w:tr>
      <w:tr w:rsidR="007940B2" w:rsidRPr="0011239F" w14:paraId="787B976E"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19E2E60A"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Provisions</w:t>
            </w:r>
          </w:p>
        </w:tc>
        <w:tc>
          <w:tcPr>
            <w:tcW w:w="616" w:type="pct"/>
            <w:tcBorders>
              <w:top w:val="nil"/>
              <w:left w:val="nil"/>
              <w:bottom w:val="single" w:sz="4" w:space="0" w:color="FFFFFF"/>
              <w:right w:val="single" w:sz="4" w:space="0" w:color="FFFFFF"/>
            </w:tcBorders>
            <w:shd w:val="clear" w:color="auto" w:fill="auto"/>
            <w:noWrap/>
            <w:vAlign w:val="center"/>
            <w:hideMark/>
          </w:tcPr>
          <w:p w14:paraId="309FC36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122</w:t>
            </w:r>
          </w:p>
        </w:tc>
        <w:tc>
          <w:tcPr>
            <w:tcW w:w="616" w:type="pct"/>
            <w:tcBorders>
              <w:top w:val="nil"/>
              <w:left w:val="nil"/>
              <w:bottom w:val="single" w:sz="4" w:space="0" w:color="FFFFFF"/>
              <w:right w:val="single" w:sz="4" w:space="0" w:color="FFFFFF"/>
            </w:tcBorders>
            <w:shd w:val="clear" w:color="auto" w:fill="auto"/>
            <w:noWrap/>
            <w:vAlign w:val="center"/>
            <w:hideMark/>
          </w:tcPr>
          <w:p w14:paraId="7C193CD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122</w:t>
            </w:r>
          </w:p>
        </w:tc>
        <w:tc>
          <w:tcPr>
            <w:tcW w:w="611" w:type="pct"/>
            <w:tcBorders>
              <w:top w:val="nil"/>
              <w:left w:val="nil"/>
              <w:bottom w:val="single" w:sz="4" w:space="0" w:color="FFFFFF"/>
              <w:right w:val="single" w:sz="4" w:space="0" w:color="FFFFFF"/>
            </w:tcBorders>
            <w:shd w:val="clear" w:color="auto" w:fill="auto"/>
            <w:noWrap/>
            <w:vAlign w:val="center"/>
            <w:hideMark/>
          </w:tcPr>
          <w:p w14:paraId="6F3FAA7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122</w:t>
            </w:r>
          </w:p>
        </w:tc>
      </w:tr>
      <w:tr w:rsidR="007940B2" w:rsidRPr="0011239F" w14:paraId="515BD256"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386D4F1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6" w:type="pct"/>
            <w:tcBorders>
              <w:top w:val="nil"/>
              <w:left w:val="nil"/>
              <w:bottom w:val="single" w:sz="4" w:space="0" w:color="FFFFFF"/>
              <w:right w:val="single" w:sz="4" w:space="0" w:color="FFFFFF"/>
            </w:tcBorders>
            <w:shd w:val="clear" w:color="auto" w:fill="auto"/>
            <w:noWrap/>
            <w:vAlign w:val="center"/>
            <w:hideMark/>
          </w:tcPr>
          <w:p w14:paraId="547F45F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31AC328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361B536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73376A4" w14:textId="77777777" w:rsidTr="00A11350">
        <w:trPr>
          <w:trHeight w:val="340"/>
        </w:trPr>
        <w:tc>
          <w:tcPr>
            <w:tcW w:w="3157"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AA11C5C"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Total </w:t>
            </w:r>
            <w:proofErr w:type="spellStart"/>
            <w:proofErr w:type="gramStart"/>
            <w:r w:rsidRPr="0011239F">
              <w:rPr>
                <w:rFonts w:ascii="Arial" w:hAnsi="Arial" w:cs="Arial"/>
                <w:b/>
                <w:bCs/>
                <w:color w:val="25A9E1"/>
                <w:sz w:val="18"/>
                <w:szCs w:val="18"/>
                <w:lang w:eastAsia="en-AU"/>
              </w:rPr>
              <w:t>Non Current</w:t>
            </w:r>
            <w:proofErr w:type="spellEnd"/>
            <w:proofErr w:type="gramEnd"/>
            <w:r w:rsidRPr="0011239F">
              <w:rPr>
                <w:rFonts w:ascii="Arial" w:hAnsi="Arial" w:cs="Arial"/>
                <w:b/>
                <w:bCs/>
                <w:color w:val="25A9E1"/>
                <w:sz w:val="18"/>
                <w:szCs w:val="18"/>
                <w:lang w:eastAsia="en-AU"/>
              </w:rPr>
              <w:t xml:space="preserve"> Liabilities</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21C9DD9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122</w:t>
            </w:r>
          </w:p>
        </w:tc>
        <w:tc>
          <w:tcPr>
            <w:tcW w:w="616" w:type="pct"/>
            <w:tcBorders>
              <w:top w:val="single" w:sz="4" w:space="0" w:color="auto"/>
              <w:left w:val="nil"/>
              <w:bottom w:val="single" w:sz="4" w:space="0" w:color="auto"/>
              <w:right w:val="single" w:sz="4" w:space="0" w:color="FFFFFF"/>
            </w:tcBorders>
            <w:shd w:val="clear" w:color="auto" w:fill="auto"/>
            <w:noWrap/>
            <w:vAlign w:val="center"/>
            <w:hideMark/>
          </w:tcPr>
          <w:p w14:paraId="5846164F"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122</w:t>
            </w:r>
          </w:p>
        </w:tc>
        <w:tc>
          <w:tcPr>
            <w:tcW w:w="611" w:type="pct"/>
            <w:tcBorders>
              <w:top w:val="single" w:sz="4" w:space="0" w:color="auto"/>
              <w:left w:val="nil"/>
              <w:bottom w:val="single" w:sz="4" w:space="0" w:color="auto"/>
              <w:right w:val="single" w:sz="4" w:space="0" w:color="FFFFFF"/>
            </w:tcBorders>
            <w:shd w:val="clear" w:color="auto" w:fill="auto"/>
            <w:noWrap/>
            <w:vAlign w:val="center"/>
            <w:hideMark/>
          </w:tcPr>
          <w:p w14:paraId="13D2C099"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1,605</w:t>
            </w:r>
          </w:p>
        </w:tc>
      </w:tr>
      <w:tr w:rsidR="007940B2" w:rsidRPr="0011239F" w14:paraId="4D7118F2" w14:textId="77777777" w:rsidTr="00A11350">
        <w:trPr>
          <w:trHeight w:val="340"/>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2C5B28E0"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Liabilities</w:t>
            </w:r>
          </w:p>
        </w:tc>
        <w:tc>
          <w:tcPr>
            <w:tcW w:w="616" w:type="pct"/>
            <w:tcBorders>
              <w:top w:val="nil"/>
              <w:left w:val="nil"/>
              <w:bottom w:val="single" w:sz="4" w:space="0" w:color="auto"/>
              <w:right w:val="single" w:sz="4" w:space="0" w:color="FFFFFF"/>
            </w:tcBorders>
            <w:shd w:val="clear" w:color="auto" w:fill="auto"/>
            <w:noWrap/>
            <w:vAlign w:val="center"/>
            <w:hideMark/>
          </w:tcPr>
          <w:p w14:paraId="403BF52A"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22,721</w:t>
            </w:r>
          </w:p>
        </w:tc>
        <w:tc>
          <w:tcPr>
            <w:tcW w:w="616" w:type="pct"/>
            <w:tcBorders>
              <w:top w:val="nil"/>
              <w:left w:val="nil"/>
              <w:bottom w:val="single" w:sz="4" w:space="0" w:color="auto"/>
              <w:right w:val="single" w:sz="4" w:space="0" w:color="FFFFFF"/>
            </w:tcBorders>
            <w:shd w:val="clear" w:color="auto" w:fill="auto"/>
            <w:noWrap/>
            <w:vAlign w:val="center"/>
            <w:hideMark/>
          </w:tcPr>
          <w:p w14:paraId="5739134A"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23,158</w:t>
            </w:r>
          </w:p>
        </w:tc>
        <w:tc>
          <w:tcPr>
            <w:tcW w:w="611" w:type="pct"/>
            <w:tcBorders>
              <w:top w:val="nil"/>
              <w:left w:val="nil"/>
              <w:bottom w:val="single" w:sz="4" w:space="0" w:color="auto"/>
              <w:right w:val="single" w:sz="4" w:space="0" w:color="FFFFFF"/>
            </w:tcBorders>
            <w:shd w:val="clear" w:color="auto" w:fill="auto"/>
            <w:noWrap/>
            <w:vAlign w:val="center"/>
            <w:hideMark/>
          </w:tcPr>
          <w:p w14:paraId="43A5DF37"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25,232</w:t>
            </w:r>
          </w:p>
        </w:tc>
      </w:tr>
      <w:tr w:rsidR="007940B2" w:rsidRPr="0011239F" w14:paraId="198658A2" w14:textId="77777777" w:rsidTr="00A11350">
        <w:trPr>
          <w:trHeight w:val="340"/>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06D6DF33"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Net Assets</w:t>
            </w:r>
          </w:p>
        </w:tc>
        <w:tc>
          <w:tcPr>
            <w:tcW w:w="616" w:type="pct"/>
            <w:tcBorders>
              <w:top w:val="nil"/>
              <w:left w:val="nil"/>
              <w:bottom w:val="single" w:sz="4" w:space="0" w:color="auto"/>
              <w:right w:val="single" w:sz="4" w:space="0" w:color="FFFFFF"/>
            </w:tcBorders>
            <w:shd w:val="clear" w:color="auto" w:fill="auto"/>
            <w:noWrap/>
            <w:vAlign w:val="center"/>
            <w:hideMark/>
          </w:tcPr>
          <w:p w14:paraId="7C3D4E7D"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447</w:t>
            </w:r>
          </w:p>
        </w:tc>
        <w:tc>
          <w:tcPr>
            <w:tcW w:w="616" w:type="pct"/>
            <w:tcBorders>
              <w:top w:val="nil"/>
              <w:left w:val="nil"/>
              <w:bottom w:val="single" w:sz="4" w:space="0" w:color="auto"/>
              <w:right w:val="single" w:sz="4" w:space="0" w:color="FFFFFF"/>
            </w:tcBorders>
            <w:shd w:val="clear" w:color="auto" w:fill="auto"/>
            <w:noWrap/>
            <w:vAlign w:val="center"/>
            <w:hideMark/>
          </w:tcPr>
          <w:p w14:paraId="56F8FCA2"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(1,069)</w:t>
            </w:r>
          </w:p>
        </w:tc>
        <w:tc>
          <w:tcPr>
            <w:tcW w:w="611" w:type="pct"/>
            <w:tcBorders>
              <w:top w:val="nil"/>
              <w:left w:val="nil"/>
              <w:bottom w:val="single" w:sz="4" w:space="0" w:color="auto"/>
              <w:right w:val="single" w:sz="4" w:space="0" w:color="FFFFFF"/>
            </w:tcBorders>
            <w:shd w:val="clear" w:color="auto" w:fill="auto"/>
            <w:noWrap/>
            <w:vAlign w:val="center"/>
            <w:hideMark/>
          </w:tcPr>
          <w:p w14:paraId="2900A9FF"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(3,030)</w:t>
            </w:r>
          </w:p>
        </w:tc>
      </w:tr>
      <w:tr w:rsidR="007940B2" w:rsidRPr="0011239F" w14:paraId="2E3DB01F"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5202ECC8"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Equity</w:t>
            </w:r>
          </w:p>
        </w:tc>
        <w:tc>
          <w:tcPr>
            <w:tcW w:w="616" w:type="pct"/>
            <w:tcBorders>
              <w:top w:val="nil"/>
              <w:left w:val="nil"/>
              <w:bottom w:val="single" w:sz="4" w:space="0" w:color="FFFFFF"/>
              <w:right w:val="single" w:sz="4" w:space="0" w:color="FFFFFF"/>
            </w:tcBorders>
            <w:shd w:val="clear" w:color="auto" w:fill="auto"/>
            <w:noWrap/>
            <w:vAlign w:val="center"/>
            <w:hideMark/>
          </w:tcPr>
          <w:p w14:paraId="55429BC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tcBorders>
              <w:top w:val="nil"/>
              <w:left w:val="nil"/>
              <w:bottom w:val="single" w:sz="4" w:space="0" w:color="FFFFFF"/>
              <w:right w:val="single" w:sz="4" w:space="0" w:color="FFFFFF"/>
            </w:tcBorders>
            <w:shd w:val="clear" w:color="auto" w:fill="auto"/>
            <w:noWrap/>
            <w:vAlign w:val="center"/>
            <w:hideMark/>
          </w:tcPr>
          <w:p w14:paraId="775E38E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1" w:type="pct"/>
            <w:tcBorders>
              <w:top w:val="nil"/>
              <w:left w:val="nil"/>
              <w:bottom w:val="single" w:sz="4" w:space="0" w:color="FFFFFF"/>
              <w:right w:val="single" w:sz="4" w:space="0" w:color="FFFFFF"/>
            </w:tcBorders>
            <w:shd w:val="clear" w:color="auto" w:fill="auto"/>
            <w:noWrap/>
            <w:vAlign w:val="center"/>
            <w:hideMark/>
          </w:tcPr>
          <w:p w14:paraId="74BA683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0FF0C9B2"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0F9A6583"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Accumulated Funds</w:t>
            </w:r>
          </w:p>
        </w:tc>
        <w:tc>
          <w:tcPr>
            <w:tcW w:w="616" w:type="pct"/>
            <w:tcBorders>
              <w:top w:val="nil"/>
              <w:left w:val="nil"/>
              <w:bottom w:val="single" w:sz="4" w:space="0" w:color="FFFFFF"/>
              <w:right w:val="single" w:sz="4" w:space="0" w:color="FFFFFF"/>
            </w:tcBorders>
            <w:shd w:val="clear" w:color="auto" w:fill="auto"/>
            <w:noWrap/>
            <w:vAlign w:val="center"/>
            <w:hideMark/>
          </w:tcPr>
          <w:p w14:paraId="31351AA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447</w:t>
            </w:r>
          </w:p>
        </w:tc>
        <w:tc>
          <w:tcPr>
            <w:tcW w:w="616" w:type="pct"/>
            <w:tcBorders>
              <w:top w:val="nil"/>
              <w:left w:val="nil"/>
              <w:bottom w:val="single" w:sz="4" w:space="0" w:color="FFFFFF"/>
              <w:right w:val="single" w:sz="4" w:space="0" w:color="FFFFFF"/>
            </w:tcBorders>
            <w:shd w:val="clear" w:color="auto" w:fill="auto"/>
            <w:noWrap/>
            <w:vAlign w:val="center"/>
            <w:hideMark/>
          </w:tcPr>
          <w:p w14:paraId="5D4D084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(1,069)</w:t>
            </w:r>
          </w:p>
        </w:tc>
        <w:tc>
          <w:tcPr>
            <w:tcW w:w="611" w:type="pct"/>
            <w:tcBorders>
              <w:top w:val="nil"/>
              <w:left w:val="nil"/>
              <w:bottom w:val="single" w:sz="4" w:space="0" w:color="FFFFFF"/>
              <w:right w:val="single" w:sz="4" w:space="0" w:color="FFFFFF"/>
            </w:tcBorders>
            <w:shd w:val="clear" w:color="auto" w:fill="auto"/>
            <w:noWrap/>
            <w:vAlign w:val="center"/>
            <w:hideMark/>
          </w:tcPr>
          <w:p w14:paraId="6F439D2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(3,030)</w:t>
            </w:r>
          </w:p>
        </w:tc>
      </w:tr>
      <w:tr w:rsidR="007940B2" w:rsidRPr="0011239F" w14:paraId="7AD69EE2" w14:textId="77777777" w:rsidTr="003C6E9F">
        <w:trPr>
          <w:trHeight w:val="225"/>
        </w:trPr>
        <w:tc>
          <w:tcPr>
            <w:tcW w:w="3157" w:type="pct"/>
            <w:tcBorders>
              <w:top w:val="nil"/>
              <w:left w:val="single" w:sz="4" w:space="0" w:color="FFFFFF"/>
              <w:bottom w:val="single" w:sz="4" w:space="0" w:color="FFFFFF"/>
              <w:right w:val="single" w:sz="4" w:space="0" w:color="FFFFFF"/>
            </w:tcBorders>
            <w:shd w:val="clear" w:color="auto" w:fill="auto"/>
            <w:noWrap/>
            <w:vAlign w:val="center"/>
            <w:hideMark/>
          </w:tcPr>
          <w:p w14:paraId="2376742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Reserves</w:t>
            </w:r>
          </w:p>
        </w:tc>
        <w:tc>
          <w:tcPr>
            <w:tcW w:w="616" w:type="pct"/>
            <w:tcBorders>
              <w:top w:val="nil"/>
              <w:left w:val="nil"/>
              <w:bottom w:val="single" w:sz="4" w:space="0" w:color="FFFFFF"/>
              <w:right w:val="single" w:sz="4" w:space="0" w:color="FFFFFF"/>
            </w:tcBorders>
            <w:shd w:val="clear" w:color="auto" w:fill="auto"/>
            <w:noWrap/>
            <w:vAlign w:val="center"/>
            <w:hideMark/>
          </w:tcPr>
          <w:p w14:paraId="1251CDE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FFFFFF"/>
              <w:right w:val="single" w:sz="4" w:space="0" w:color="FFFFFF"/>
            </w:tcBorders>
            <w:shd w:val="clear" w:color="auto" w:fill="auto"/>
            <w:noWrap/>
            <w:vAlign w:val="center"/>
            <w:hideMark/>
          </w:tcPr>
          <w:p w14:paraId="6754444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FFFFFF"/>
              <w:right w:val="single" w:sz="4" w:space="0" w:color="FFFFFF"/>
            </w:tcBorders>
            <w:shd w:val="clear" w:color="auto" w:fill="auto"/>
            <w:noWrap/>
            <w:vAlign w:val="center"/>
            <w:hideMark/>
          </w:tcPr>
          <w:p w14:paraId="26CBFD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CD776BF" w14:textId="77777777" w:rsidTr="003C6E9F">
        <w:trPr>
          <w:trHeight w:val="300"/>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169A4CA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Capital Equity</w:t>
            </w:r>
          </w:p>
        </w:tc>
        <w:tc>
          <w:tcPr>
            <w:tcW w:w="616" w:type="pct"/>
            <w:tcBorders>
              <w:top w:val="nil"/>
              <w:left w:val="nil"/>
              <w:bottom w:val="single" w:sz="4" w:space="0" w:color="auto"/>
              <w:right w:val="single" w:sz="4" w:space="0" w:color="FFFFFF"/>
            </w:tcBorders>
            <w:shd w:val="clear" w:color="auto" w:fill="auto"/>
            <w:noWrap/>
            <w:vAlign w:val="center"/>
            <w:hideMark/>
          </w:tcPr>
          <w:p w14:paraId="387A47C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tcBorders>
              <w:top w:val="nil"/>
              <w:left w:val="nil"/>
              <w:bottom w:val="single" w:sz="4" w:space="0" w:color="auto"/>
              <w:right w:val="single" w:sz="4" w:space="0" w:color="FFFFFF"/>
            </w:tcBorders>
            <w:shd w:val="clear" w:color="auto" w:fill="auto"/>
            <w:noWrap/>
            <w:vAlign w:val="center"/>
            <w:hideMark/>
          </w:tcPr>
          <w:p w14:paraId="46216DB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1" w:type="pct"/>
            <w:tcBorders>
              <w:top w:val="nil"/>
              <w:left w:val="nil"/>
              <w:bottom w:val="single" w:sz="4" w:space="0" w:color="auto"/>
              <w:right w:val="single" w:sz="4" w:space="0" w:color="FFFFFF"/>
            </w:tcBorders>
            <w:shd w:val="clear" w:color="auto" w:fill="auto"/>
            <w:noWrap/>
            <w:vAlign w:val="center"/>
            <w:hideMark/>
          </w:tcPr>
          <w:p w14:paraId="0B7B1B6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4E17322" w14:textId="77777777" w:rsidTr="00A11350">
        <w:trPr>
          <w:trHeight w:val="340"/>
        </w:trPr>
        <w:tc>
          <w:tcPr>
            <w:tcW w:w="3157" w:type="pct"/>
            <w:tcBorders>
              <w:top w:val="nil"/>
              <w:left w:val="single" w:sz="4" w:space="0" w:color="FFFFFF"/>
              <w:bottom w:val="single" w:sz="4" w:space="0" w:color="auto"/>
              <w:right w:val="single" w:sz="4" w:space="0" w:color="FFFFFF"/>
            </w:tcBorders>
            <w:shd w:val="clear" w:color="auto" w:fill="auto"/>
            <w:noWrap/>
            <w:vAlign w:val="center"/>
            <w:hideMark/>
          </w:tcPr>
          <w:p w14:paraId="40F32A92"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Equity</w:t>
            </w:r>
          </w:p>
        </w:tc>
        <w:tc>
          <w:tcPr>
            <w:tcW w:w="616" w:type="pct"/>
            <w:tcBorders>
              <w:top w:val="nil"/>
              <w:left w:val="nil"/>
              <w:bottom w:val="single" w:sz="4" w:space="0" w:color="auto"/>
              <w:right w:val="single" w:sz="4" w:space="0" w:color="FFFFFF"/>
            </w:tcBorders>
            <w:shd w:val="clear" w:color="auto" w:fill="auto"/>
            <w:noWrap/>
            <w:vAlign w:val="center"/>
            <w:hideMark/>
          </w:tcPr>
          <w:p w14:paraId="4BB4EAD2"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447</w:t>
            </w:r>
          </w:p>
        </w:tc>
        <w:tc>
          <w:tcPr>
            <w:tcW w:w="616" w:type="pct"/>
            <w:tcBorders>
              <w:top w:val="nil"/>
              <w:left w:val="nil"/>
              <w:bottom w:val="single" w:sz="4" w:space="0" w:color="auto"/>
              <w:right w:val="single" w:sz="4" w:space="0" w:color="FFFFFF"/>
            </w:tcBorders>
            <w:shd w:val="clear" w:color="auto" w:fill="auto"/>
            <w:noWrap/>
            <w:vAlign w:val="center"/>
            <w:hideMark/>
          </w:tcPr>
          <w:p w14:paraId="76A1549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(1,069)</w:t>
            </w:r>
          </w:p>
        </w:tc>
        <w:tc>
          <w:tcPr>
            <w:tcW w:w="611" w:type="pct"/>
            <w:tcBorders>
              <w:top w:val="nil"/>
              <w:left w:val="nil"/>
              <w:bottom w:val="single" w:sz="4" w:space="0" w:color="auto"/>
              <w:right w:val="single" w:sz="4" w:space="0" w:color="FFFFFF"/>
            </w:tcBorders>
            <w:shd w:val="clear" w:color="auto" w:fill="auto"/>
            <w:noWrap/>
            <w:vAlign w:val="center"/>
            <w:hideMark/>
          </w:tcPr>
          <w:p w14:paraId="263686E3"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(3,030)</w:t>
            </w:r>
          </w:p>
        </w:tc>
      </w:tr>
    </w:tbl>
    <w:p w14:paraId="5AB21E03" w14:textId="77777777" w:rsidR="003C6E9F" w:rsidRPr="0011239F" w:rsidRDefault="003C6E9F">
      <w:pPr>
        <w:rPr>
          <w:rFonts w:ascii="Arial" w:eastAsia="Calibri" w:hAnsi="Arial" w:cs="Arial"/>
          <w:szCs w:val="22"/>
        </w:rPr>
      </w:pPr>
      <w:r w:rsidRPr="0011239F">
        <w:rPr>
          <w:rFonts w:ascii="Arial" w:hAnsi="Arial" w:cs="Arial"/>
        </w:rPr>
        <w:br w:type="page"/>
      </w:r>
    </w:p>
    <w:p w14:paraId="374850DB" w14:textId="77777777" w:rsidR="007940B2" w:rsidRPr="0011239F" w:rsidRDefault="007940B2" w:rsidP="00DB3AC8">
      <w:pPr>
        <w:pStyle w:val="Heading4"/>
        <w:spacing w:before="0"/>
        <w:rPr>
          <w:rFonts w:cs="Arial"/>
          <w:lang w:eastAsia="en-AU"/>
        </w:rPr>
      </w:pPr>
      <w:r w:rsidRPr="0011239F">
        <w:rPr>
          <w:rFonts w:cs="Arial"/>
          <w:lang w:eastAsia="en-AU"/>
        </w:rPr>
        <w:lastRenderedPageBreak/>
        <w:t>Cash Flow Statement</w:t>
      </w:r>
    </w:p>
    <w:tbl>
      <w:tblPr>
        <w:tblW w:w="5015" w:type="pct"/>
        <w:tblLook w:val="04A0" w:firstRow="1" w:lastRow="0" w:firstColumn="1" w:lastColumn="0" w:noHBand="0" w:noVBand="1"/>
        <w:tblCaption w:val="NSW Education Standards Authority"/>
        <w:tblDescription w:val="NSW Education Standards Authority - Cash Flow Statement"/>
      </w:tblPr>
      <w:tblGrid>
        <w:gridCol w:w="6099"/>
        <w:gridCol w:w="1189"/>
        <w:gridCol w:w="1187"/>
        <w:gridCol w:w="8"/>
        <w:gridCol w:w="1185"/>
      </w:tblGrid>
      <w:tr w:rsidR="003C6E9F" w:rsidRPr="0011239F" w14:paraId="438A6FC5" w14:textId="77777777" w:rsidTr="003C6E9F">
        <w:trPr>
          <w:trHeight w:val="283"/>
        </w:trPr>
        <w:tc>
          <w:tcPr>
            <w:tcW w:w="3154" w:type="pct"/>
            <w:shd w:val="clear" w:color="auto" w:fill="00ABE6"/>
            <w:vAlign w:val="center"/>
            <w:hideMark/>
          </w:tcPr>
          <w:p w14:paraId="01E6AE75"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29" w:type="pct"/>
            <w:gridSpan w:val="2"/>
            <w:shd w:val="clear" w:color="auto" w:fill="00ABE6"/>
            <w:vAlign w:val="bottom"/>
            <w:hideMark/>
          </w:tcPr>
          <w:p w14:paraId="09BF7428"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4" w:type="pct"/>
            <w:gridSpan w:val="2"/>
            <w:shd w:val="clear" w:color="auto" w:fill="00ABE6"/>
            <w:vAlign w:val="bottom"/>
            <w:hideMark/>
          </w:tcPr>
          <w:p w14:paraId="10D7D81C"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382749B4" w14:textId="77777777" w:rsidTr="003C6E9F">
        <w:trPr>
          <w:trHeight w:val="255"/>
        </w:trPr>
        <w:tc>
          <w:tcPr>
            <w:tcW w:w="3154" w:type="pct"/>
            <w:shd w:val="clear" w:color="auto" w:fill="00ABE6"/>
            <w:vAlign w:val="center"/>
            <w:hideMark/>
          </w:tcPr>
          <w:p w14:paraId="30EEBFB5"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shd w:val="clear" w:color="auto" w:fill="00ABE6"/>
            <w:vAlign w:val="center"/>
            <w:hideMark/>
          </w:tcPr>
          <w:p w14:paraId="523D4A89"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4" w:type="pct"/>
            <w:shd w:val="clear" w:color="auto" w:fill="00ABE6"/>
            <w:vAlign w:val="center"/>
            <w:hideMark/>
          </w:tcPr>
          <w:p w14:paraId="14614410"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4" w:type="pct"/>
            <w:gridSpan w:val="2"/>
            <w:shd w:val="clear" w:color="auto" w:fill="00ABE6"/>
            <w:vAlign w:val="center"/>
            <w:hideMark/>
          </w:tcPr>
          <w:p w14:paraId="727CC891"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1CC9A1FC" w14:textId="77777777" w:rsidTr="003C6E9F">
        <w:trPr>
          <w:trHeight w:val="238"/>
        </w:trPr>
        <w:tc>
          <w:tcPr>
            <w:tcW w:w="3154" w:type="pct"/>
            <w:shd w:val="clear" w:color="auto" w:fill="0A7CB9"/>
            <w:vAlign w:val="center"/>
            <w:hideMark/>
          </w:tcPr>
          <w:p w14:paraId="56434EF0"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shd w:val="clear" w:color="auto" w:fill="0A7CB9"/>
            <w:hideMark/>
          </w:tcPr>
          <w:p w14:paraId="6F383124"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4" w:type="pct"/>
            <w:shd w:val="clear" w:color="auto" w:fill="0A7CB9"/>
            <w:hideMark/>
          </w:tcPr>
          <w:p w14:paraId="59C217C1"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4" w:type="pct"/>
            <w:gridSpan w:val="2"/>
            <w:shd w:val="clear" w:color="auto" w:fill="0A7CB9"/>
            <w:hideMark/>
          </w:tcPr>
          <w:p w14:paraId="061633B0"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5F3EFF09" w14:textId="77777777" w:rsidTr="003C6E9F">
        <w:trPr>
          <w:trHeight w:val="225"/>
        </w:trPr>
        <w:tc>
          <w:tcPr>
            <w:tcW w:w="315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D769127"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Operating Activities</w:t>
            </w:r>
          </w:p>
        </w:tc>
        <w:tc>
          <w:tcPr>
            <w:tcW w:w="615" w:type="pct"/>
            <w:tcBorders>
              <w:top w:val="single" w:sz="4" w:space="0" w:color="FFFFFF"/>
              <w:left w:val="nil"/>
              <w:bottom w:val="single" w:sz="4" w:space="0" w:color="FFFFFF"/>
              <w:right w:val="single" w:sz="4" w:space="0" w:color="FFFFFF"/>
            </w:tcBorders>
            <w:shd w:val="clear" w:color="auto" w:fill="auto"/>
            <w:noWrap/>
            <w:vAlign w:val="bottom"/>
            <w:hideMark/>
          </w:tcPr>
          <w:p w14:paraId="78AB703D"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63FDC3BA"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FFFFFF"/>
              <w:left w:val="nil"/>
              <w:bottom w:val="single" w:sz="4" w:space="0" w:color="FFFFFF"/>
              <w:right w:val="single" w:sz="4" w:space="0" w:color="FFFFFF"/>
            </w:tcBorders>
            <w:shd w:val="clear" w:color="auto" w:fill="auto"/>
            <w:noWrap/>
            <w:vAlign w:val="bottom"/>
            <w:hideMark/>
          </w:tcPr>
          <w:p w14:paraId="194AA23F"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59481742"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0ECAE64C" w14:textId="77777777" w:rsidR="007940B2" w:rsidRPr="0011239F" w:rsidRDefault="007940B2" w:rsidP="007940B2">
            <w:pPr>
              <w:rPr>
                <w:rFonts w:ascii="Arial" w:hAnsi="Arial" w:cs="Arial"/>
                <w:b/>
                <w:bCs/>
                <w:sz w:val="18"/>
                <w:szCs w:val="18"/>
                <w:lang w:eastAsia="en-AU"/>
              </w:rPr>
            </w:pPr>
            <w:r w:rsidRPr="0011239F">
              <w:rPr>
                <w:rFonts w:ascii="Arial" w:hAnsi="Arial" w:cs="Arial"/>
                <w:b/>
                <w:bCs/>
                <w:sz w:val="18"/>
                <w:szCs w:val="18"/>
                <w:lang w:eastAsia="en-AU"/>
              </w:rPr>
              <w:t>Payments</w:t>
            </w:r>
          </w:p>
        </w:tc>
        <w:tc>
          <w:tcPr>
            <w:tcW w:w="615" w:type="pct"/>
            <w:tcBorders>
              <w:top w:val="nil"/>
              <w:left w:val="nil"/>
              <w:bottom w:val="single" w:sz="4" w:space="0" w:color="FFFFFF"/>
              <w:right w:val="single" w:sz="4" w:space="0" w:color="FFFFFF"/>
            </w:tcBorders>
            <w:shd w:val="clear" w:color="auto" w:fill="auto"/>
            <w:noWrap/>
            <w:vAlign w:val="bottom"/>
            <w:hideMark/>
          </w:tcPr>
          <w:p w14:paraId="18F1A5E9"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bottom"/>
            <w:hideMark/>
          </w:tcPr>
          <w:p w14:paraId="0976AD3F"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28E0F5F2"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BF2070A"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3DB130B8"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Employee Related</w:t>
            </w:r>
          </w:p>
        </w:tc>
        <w:tc>
          <w:tcPr>
            <w:tcW w:w="615" w:type="pct"/>
            <w:tcBorders>
              <w:top w:val="nil"/>
              <w:left w:val="nil"/>
              <w:bottom w:val="single" w:sz="4" w:space="0" w:color="FFFFFF"/>
              <w:right w:val="single" w:sz="4" w:space="0" w:color="FFFFFF"/>
            </w:tcBorders>
            <w:shd w:val="clear" w:color="auto" w:fill="auto"/>
            <w:noWrap/>
            <w:vAlign w:val="center"/>
            <w:hideMark/>
          </w:tcPr>
          <w:p w14:paraId="51A6D25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116,948</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7E0491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118,796</w:t>
            </w:r>
          </w:p>
        </w:tc>
        <w:tc>
          <w:tcPr>
            <w:tcW w:w="613" w:type="pct"/>
            <w:tcBorders>
              <w:top w:val="nil"/>
              <w:left w:val="nil"/>
              <w:bottom w:val="single" w:sz="4" w:space="0" w:color="FFFFFF"/>
              <w:right w:val="single" w:sz="4" w:space="0" w:color="FFFFFF"/>
            </w:tcBorders>
            <w:shd w:val="clear" w:color="auto" w:fill="auto"/>
            <w:noWrap/>
            <w:vAlign w:val="center"/>
            <w:hideMark/>
          </w:tcPr>
          <w:p w14:paraId="4260F05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110,620</w:t>
            </w:r>
          </w:p>
        </w:tc>
      </w:tr>
      <w:tr w:rsidR="007940B2" w:rsidRPr="0011239F" w14:paraId="59F25688"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2F04C9A6"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Personnel Services</w:t>
            </w:r>
          </w:p>
        </w:tc>
        <w:tc>
          <w:tcPr>
            <w:tcW w:w="615" w:type="pct"/>
            <w:tcBorders>
              <w:top w:val="nil"/>
              <w:left w:val="nil"/>
              <w:bottom w:val="single" w:sz="4" w:space="0" w:color="FFFFFF"/>
              <w:right w:val="single" w:sz="4" w:space="0" w:color="FFFFFF"/>
            </w:tcBorders>
            <w:shd w:val="clear" w:color="auto" w:fill="auto"/>
            <w:noWrap/>
            <w:vAlign w:val="center"/>
            <w:hideMark/>
          </w:tcPr>
          <w:p w14:paraId="65B8B5E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A28300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2C7115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A2A26BF"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40EE8456"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Grants and Subsidies</w:t>
            </w:r>
          </w:p>
        </w:tc>
        <w:tc>
          <w:tcPr>
            <w:tcW w:w="615" w:type="pct"/>
            <w:tcBorders>
              <w:top w:val="nil"/>
              <w:left w:val="nil"/>
              <w:bottom w:val="single" w:sz="4" w:space="0" w:color="FFFFFF"/>
              <w:right w:val="single" w:sz="4" w:space="0" w:color="FFFFFF"/>
            </w:tcBorders>
            <w:shd w:val="clear" w:color="auto" w:fill="auto"/>
            <w:noWrap/>
            <w:vAlign w:val="center"/>
            <w:hideMark/>
          </w:tcPr>
          <w:p w14:paraId="1957A46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24B7A2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49A2FD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19426CC"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5E1D267B"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Finance Costs</w:t>
            </w:r>
          </w:p>
        </w:tc>
        <w:tc>
          <w:tcPr>
            <w:tcW w:w="615" w:type="pct"/>
            <w:tcBorders>
              <w:top w:val="nil"/>
              <w:left w:val="nil"/>
              <w:bottom w:val="single" w:sz="4" w:space="0" w:color="FFFFFF"/>
              <w:right w:val="single" w:sz="4" w:space="0" w:color="FFFFFF"/>
            </w:tcBorders>
            <w:shd w:val="clear" w:color="auto" w:fill="auto"/>
            <w:noWrap/>
            <w:vAlign w:val="center"/>
            <w:hideMark/>
          </w:tcPr>
          <w:p w14:paraId="1F5A264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07A893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7EE071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113</w:t>
            </w:r>
          </w:p>
        </w:tc>
      </w:tr>
      <w:tr w:rsidR="007940B2" w:rsidRPr="0011239F" w14:paraId="337E803E"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0BA14797"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Equivalent Income Tax</w:t>
            </w:r>
          </w:p>
        </w:tc>
        <w:tc>
          <w:tcPr>
            <w:tcW w:w="615" w:type="pct"/>
            <w:tcBorders>
              <w:top w:val="nil"/>
              <w:left w:val="nil"/>
              <w:bottom w:val="single" w:sz="4" w:space="0" w:color="FFFFFF"/>
              <w:right w:val="single" w:sz="4" w:space="0" w:color="FFFFFF"/>
            </w:tcBorders>
            <w:shd w:val="clear" w:color="auto" w:fill="auto"/>
            <w:noWrap/>
            <w:vAlign w:val="center"/>
            <w:hideMark/>
          </w:tcPr>
          <w:p w14:paraId="4544196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08FBBC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5233A4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33446DB" w14:textId="77777777" w:rsidTr="003C6E9F">
        <w:trPr>
          <w:trHeight w:val="225"/>
        </w:trPr>
        <w:tc>
          <w:tcPr>
            <w:tcW w:w="3154" w:type="pct"/>
            <w:tcBorders>
              <w:top w:val="nil"/>
              <w:left w:val="single" w:sz="4" w:space="0" w:color="FFFFFF"/>
              <w:bottom w:val="nil"/>
              <w:right w:val="single" w:sz="4" w:space="0" w:color="FFFFFF"/>
            </w:tcBorders>
            <w:shd w:val="clear" w:color="auto" w:fill="auto"/>
            <w:noWrap/>
            <w:vAlign w:val="center"/>
            <w:hideMark/>
          </w:tcPr>
          <w:p w14:paraId="170A9FF2"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Payments</w:t>
            </w:r>
          </w:p>
        </w:tc>
        <w:tc>
          <w:tcPr>
            <w:tcW w:w="615" w:type="pct"/>
            <w:tcBorders>
              <w:top w:val="nil"/>
              <w:left w:val="nil"/>
              <w:bottom w:val="nil"/>
              <w:right w:val="single" w:sz="4" w:space="0" w:color="FFFFFF"/>
            </w:tcBorders>
            <w:shd w:val="clear" w:color="auto" w:fill="auto"/>
            <w:noWrap/>
            <w:vAlign w:val="center"/>
            <w:hideMark/>
          </w:tcPr>
          <w:p w14:paraId="0DA6BD1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43,444</w:t>
            </w:r>
          </w:p>
        </w:tc>
        <w:tc>
          <w:tcPr>
            <w:tcW w:w="618" w:type="pct"/>
            <w:gridSpan w:val="2"/>
            <w:tcBorders>
              <w:top w:val="nil"/>
              <w:left w:val="nil"/>
              <w:bottom w:val="nil"/>
              <w:right w:val="single" w:sz="4" w:space="0" w:color="FFFFFF"/>
            </w:tcBorders>
            <w:shd w:val="clear" w:color="auto" w:fill="auto"/>
            <w:noWrap/>
            <w:vAlign w:val="center"/>
            <w:hideMark/>
          </w:tcPr>
          <w:p w14:paraId="50B0DB5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51,561</w:t>
            </w:r>
          </w:p>
        </w:tc>
        <w:tc>
          <w:tcPr>
            <w:tcW w:w="613" w:type="pct"/>
            <w:tcBorders>
              <w:top w:val="nil"/>
              <w:left w:val="nil"/>
              <w:bottom w:val="nil"/>
              <w:right w:val="single" w:sz="4" w:space="0" w:color="FFFFFF"/>
            </w:tcBorders>
            <w:shd w:val="clear" w:color="auto" w:fill="auto"/>
            <w:noWrap/>
            <w:vAlign w:val="center"/>
            <w:hideMark/>
          </w:tcPr>
          <w:p w14:paraId="2BDB9D7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29,076</w:t>
            </w:r>
          </w:p>
        </w:tc>
      </w:tr>
      <w:tr w:rsidR="007940B2" w:rsidRPr="0011239F" w14:paraId="06FEAE0A" w14:textId="77777777" w:rsidTr="00A11350">
        <w:trPr>
          <w:trHeight w:val="340"/>
        </w:trPr>
        <w:tc>
          <w:tcPr>
            <w:tcW w:w="3154"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78EFFA0" w14:textId="77777777" w:rsidR="007940B2" w:rsidRPr="0011239F" w:rsidRDefault="007940B2" w:rsidP="003C6E9F">
            <w:pPr>
              <w:ind w:firstLineChars="100" w:firstLine="181"/>
              <w:rPr>
                <w:rFonts w:ascii="Arial" w:hAnsi="Arial" w:cs="Arial"/>
                <w:b/>
                <w:bCs/>
                <w:color w:val="25A9E1"/>
                <w:sz w:val="18"/>
                <w:szCs w:val="18"/>
                <w:lang w:eastAsia="en-AU"/>
              </w:rPr>
            </w:pPr>
            <w:r w:rsidRPr="0011239F">
              <w:rPr>
                <w:rFonts w:ascii="Arial" w:hAnsi="Arial" w:cs="Arial"/>
                <w:b/>
                <w:bCs/>
                <w:color w:val="25A9E1"/>
                <w:sz w:val="18"/>
                <w:szCs w:val="18"/>
                <w:lang w:eastAsia="en-AU"/>
              </w:rPr>
              <w:t>Total Payments</w:t>
            </w:r>
          </w:p>
        </w:tc>
        <w:tc>
          <w:tcPr>
            <w:tcW w:w="615" w:type="pct"/>
            <w:tcBorders>
              <w:top w:val="single" w:sz="4" w:space="0" w:color="auto"/>
              <w:left w:val="nil"/>
              <w:bottom w:val="single" w:sz="4" w:space="0" w:color="auto"/>
              <w:right w:val="single" w:sz="4" w:space="0" w:color="FFFFFF"/>
            </w:tcBorders>
            <w:shd w:val="clear" w:color="auto" w:fill="auto"/>
            <w:noWrap/>
            <w:vAlign w:val="center"/>
            <w:hideMark/>
          </w:tcPr>
          <w:p w14:paraId="33F15C37"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160,393</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4D6B8192"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170,357</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3056A4D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139,808</w:t>
            </w:r>
          </w:p>
        </w:tc>
      </w:tr>
      <w:tr w:rsidR="007940B2" w:rsidRPr="0011239F" w14:paraId="0EDFF1D5"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7367789E" w14:textId="77777777" w:rsidR="007940B2" w:rsidRPr="0011239F" w:rsidRDefault="007940B2" w:rsidP="003C6E9F">
            <w:pPr>
              <w:rPr>
                <w:rFonts w:ascii="Arial" w:hAnsi="Arial" w:cs="Arial"/>
                <w:b/>
                <w:bCs/>
                <w:sz w:val="18"/>
                <w:szCs w:val="18"/>
                <w:lang w:eastAsia="en-AU"/>
              </w:rPr>
            </w:pPr>
            <w:r w:rsidRPr="0011239F">
              <w:rPr>
                <w:rFonts w:ascii="Arial" w:hAnsi="Arial" w:cs="Arial"/>
                <w:b/>
                <w:bCs/>
                <w:sz w:val="18"/>
                <w:szCs w:val="18"/>
                <w:lang w:eastAsia="en-AU"/>
              </w:rPr>
              <w:t>Receipts</w:t>
            </w:r>
          </w:p>
        </w:tc>
        <w:tc>
          <w:tcPr>
            <w:tcW w:w="615" w:type="pct"/>
            <w:tcBorders>
              <w:top w:val="nil"/>
              <w:left w:val="nil"/>
              <w:bottom w:val="single" w:sz="4" w:space="0" w:color="FFFFFF"/>
              <w:right w:val="single" w:sz="4" w:space="0" w:color="FFFFFF"/>
            </w:tcBorders>
            <w:shd w:val="clear" w:color="auto" w:fill="auto"/>
            <w:noWrap/>
            <w:vAlign w:val="center"/>
            <w:hideMark/>
          </w:tcPr>
          <w:p w14:paraId="638B2E1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D735F4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7E1BE2F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53A701EB"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404D3DD6"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Appropriation</w:t>
            </w:r>
          </w:p>
        </w:tc>
        <w:tc>
          <w:tcPr>
            <w:tcW w:w="615" w:type="pct"/>
            <w:tcBorders>
              <w:top w:val="nil"/>
              <w:left w:val="nil"/>
              <w:bottom w:val="single" w:sz="4" w:space="0" w:color="FFFFFF"/>
              <w:right w:val="single" w:sz="4" w:space="0" w:color="FFFFFF"/>
            </w:tcBorders>
            <w:shd w:val="clear" w:color="auto" w:fill="auto"/>
            <w:noWrap/>
            <w:vAlign w:val="center"/>
            <w:hideMark/>
          </w:tcPr>
          <w:p w14:paraId="6E4A233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D34F09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2FE5F9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8A438DE"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49018630"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Cluster Grant Revenue</w:t>
            </w:r>
          </w:p>
        </w:tc>
        <w:tc>
          <w:tcPr>
            <w:tcW w:w="615" w:type="pct"/>
            <w:tcBorders>
              <w:top w:val="nil"/>
              <w:left w:val="nil"/>
              <w:bottom w:val="single" w:sz="4" w:space="0" w:color="FFFFFF"/>
              <w:right w:val="single" w:sz="4" w:space="0" w:color="FFFFFF"/>
            </w:tcBorders>
            <w:shd w:val="clear" w:color="auto" w:fill="auto"/>
            <w:noWrap/>
            <w:vAlign w:val="center"/>
            <w:hideMark/>
          </w:tcPr>
          <w:p w14:paraId="5A85B5E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126,297</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6A0504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135,961</w:t>
            </w:r>
          </w:p>
        </w:tc>
        <w:tc>
          <w:tcPr>
            <w:tcW w:w="613" w:type="pct"/>
            <w:tcBorders>
              <w:top w:val="nil"/>
              <w:left w:val="nil"/>
              <w:bottom w:val="single" w:sz="4" w:space="0" w:color="FFFFFF"/>
              <w:right w:val="single" w:sz="4" w:space="0" w:color="FFFFFF"/>
            </w:tcBorders>
            <w:shd w:val="clear" w:color="auto" w:fill="auto"/>
            <w:noWrap/>
            <w:vAlign w:val="center"/>
            <w:hideMark/>
          </w:tcPr>
          <w:p w14:paraId="5F34D38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34,389</w:t>
            </w:r>
          </w:p>
        </w:tc>
      </w:tr>
      <w:tr w:rsidR="007940B2" w:rsidRPr="0011239F" w14:paraId="6AD2CD2C"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1F26470F"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Cash reimbursements from the Crown Entity</w:t>
            </w:r>
          </w:p>
        </w:tc>
        <w:tc>
          <w:tcPr>
            <w:tcW w:w="615" w:type="pct"/>
            <w:tcBorders>
              <w:top w:val="nil"/>
              <w:left w:val="nil"/>
              <w:bottom w:val="single" w:sz="4" w:space="0" w:color="FFFFFF"/>
              <w:right w:val="single" w:sz="4" w:space="0" w:color="FFFFFF"/>
            </w:tcBorders>
            <w:shd w:val="clear" w:color="auto" w:fill="auto"/>
            <w:noWrap/>
            <w:vAlign w:val="center"/>
            <w:hideMark/>
          </w:tcPr>
          <w:p w14:paraId="1A80DCF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CA9093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BD3E3B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D2F1F0D"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341602F4"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Sale Proceeds Transfers to the Crown Entity</w:t>
            </w:r>
          </w:p>
        </w:tc>
        <w:tc>
          <w:tcPr>
            <w:tcW w:w="615" w:type="pct"/>
            <w:tcBorders>
              <w:top w:val="nil"/>
              <w:left w:val="nil"/>
              <w:bottom w:val="single" w:sz="4" w:space="0" w:color="FFFFFF"/>
              <w:right w:val="single" w:sz="4" w:space="0" w:color="FFFFFF"/>
            </w:tcBorders>
            <w:shd w:val="clear" w:color="auto" w:fill="auto"/>
            <w:noWrap/>
            <w:vAlign w:val="center"/>
            <w:hideMark/>
          </w:tcPr>
          <w:p w14:paraId="4B7C08C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068C43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E3BF4E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EF84ACB"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73C72D88"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Cash transfers to the Crown Entity</w:t>
            </w:r>
          </w:p>
        </w:tc>
        <w:tc>
          <w:tcPr>
            <w:tcW w:w="615" w:type="pct"/>
            <w:tcBorders>
              <w:top w:val="nil"/>
              <w:left w:val="nil"/>
              <w:bottom w:val="single" w:sz="4" w:space="0" w:color="FFFFFF"/>
              <w:right w:val="single" w:sz="4" w:space="0" w:color="FFFFFF"/>
            </w:tcBorders>
            <w:shd w:val="clear" w:color="auto" w:fill="auto"/>
            <w:noWrap/>
            <w:vAlign w:val="center"/>
            <w:hideMark/>
          </w:tcPr>
          <w:p w14:paraId="3B2AA54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E12895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82C1A4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D19CBE2"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065A080B"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Sale of Goods and Services</w:t>
            </w:r>
          </w:p>
        </w:tc>
        <w:tc>
          <w:tcPr>
            <w:tcW w:w="615" w:type="pct"/>
            <w:tcBorders>
              <w:top w:val="nil"/>
              <w:left w:val="nil"/>
              <w:bottom w:val="single" w:sz="4" w:space="0" w:color="FFFFFF"/>
              <w:right w:val="single" w:sz="4" w:space="0" w:color="FFFFFF"/>
            </w:tcBorders>
            <w:shd w:val="clear" w:color="auto" w:fill="auto"/>
            <w:noWrap/>
            <w:vAlign w:val="center"/>
            <w:hideMark/>
          </w:tcPr>
          <w:p w14:paraId="46F34D9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30,450</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7EF53BA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34,186</w:t>
            </w:r>
          </w:p>
        </w:tc>
        <w:tc>
          <w:tcPr>
            <w:tcW w:w="613" w:type="pct"/>
            <w:tcBorders>
              <w:top w:val="nil"/>
              <w:left w:val="nil"/>
              <w:bottom w:val="single" w:sz="4" w:space="0" w:color="FFFFFF"/>
              <w:right w:val="single" w:sz="4" w:space="0" w:color="FFFFFF"/>
            </w:tcBorders>
            <w:shd w:val="clear" w:color="auto" w:fill="auto"/>
            <w:noWrap/>
            <w:vAlign w:val="center"/>
            <w:hideMark/>
          </w:tcPr>
          <w:p w14:paraId="20FF4C2B" w14:textId="6AF766BC"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104,</w:t>
            </w:r>
            <w:r w:rsidR="009A5765" w:rsidRPr="0011239F">
              <w:rPr>
                <w:rFonts w:ascii="Arial" w:hAnsi="Arial" w:cs="Arial"/>
                <w:color w:val="000000"/>
                <w:sz w:val="18"/>
                <w:szCs w:val="18"/>
                <w:lang w:eastAsia="en-AU"/>
              </w:rPr>
              <w:t>326</w:t>
            </w:r>
          </w:p>
        </w:tc>
      </w:tr>
      <w:tr w:rsidR="007940B2" w:rsidRPr="0011239F" w14:paraId="701E5814"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61AF9B21"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Retained Taxes, Fees and Fines</w:t>
            </w:r>
          </w:p>
        </w:tc>
        <w:tc>
          <w:tcPr>
            <w:tcW w:w="615" w:type="pct"/>
            <w:tcBorders>
              <w:top w:val="nil"/>
              <w:left w:val="nil"/>
              <w:bottom w:val="single" w:sz="4" w:space="0" w:color="FFFFFF"/>
              <w:right w:val="single" w:sz="4" w:space="0" w:color="FFFFFF"/>
            </w:tcBorders>
            <w:shd w:val="clear" w:color="auto" w:fill="auto"/>
            <w:noWrap/>
            <w:vAlign w:val="center"/>
            <w:hideMark/>
          </w:tcPr>
          <w:p w14:paraId="28DF2EE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517660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DB1FC0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53E65C5"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5725F8AA"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Interest Received</w:t>
            </w:r>
          </w:p>
        </w:tc>
        <w:tc>
          <w:tcPr>
            <w:tcW w:w="615" w:type="pct"/>
            <w:tcBorders>
              <w:top w:val="nil"/>
              <w:left w:val="nil"/>
              <w:bottom w:val="single" w:sz="4" w:space="0" w:color="FFFFFF"/>
              <w:right w:val="single" w:sz="4" w:space="0" w:color="FFFFFF"/>
            </w:tcBorders>
            <w:shd w:val="clear" w:color="auto" w:fill="auto"/>
            <w:noWrap/>
            <w:vAlign w:val="center"/>
            <w:hideMark/>
          </w:tcPr>
          <w:p w14:paraId="66C1864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208</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948F037" w14:textId="302D2003" w:rsidR="007940B2" w:rsidRPr="0011239F" w:rsidRDefault="004E4AEF"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E343E1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212</w:t>
            </w:r>
          </w:p>
        </w:tc>
      </w:tr>
      <w:tr w:rsidR="007940B2" w:rsidRPr="0011239F" w14:paraId="10D917AD"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25D334F9"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Grants and Contributions</w:t>
            </w:r>
          </w:p>
        </w:tc>
        <w:tc>
          <w:tcPr>
            <w:tcW w:w="615" w:type="pct"/>
            <w:tcBorders>
              <w:top w:val="nil"/>
              <w:left w:val="nil"/>
              <w:bottom w:val="single" w:sz="4" w:space="0" w:color="FFFFFF"/>
              <w:right w:val="single" w:sz="4" w:space="0" w:color="FFFFFF"/>
            </w:tcBorders>
            <w:shd w:val="clear" w:color="auto" w:fill="auto"/>
            <w:noWrap/>
            <w:vAlign w:val="center"/>
            <w:hideMark/>
          </w:tcPr>
          <w:p w14:paraId="32A3F85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1,784</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77B112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2,451</w:t>
            </w:r>
          </w:p>
        </w:tc>
        <w:tc>
          <w:tcPr>
            <w:tcW w:w="613" w:type="pct"/>
            <w:tcBorders>
              <w:top w:val="nil"/>
              <w:left w:val="nil"/>
              <w:bottom w:val="single" w:sz="4" w:space="0" w:color="FFFFFF"/>
              <w:right w:val="single" w:sz="4" w:space="0" w:color="FFFFFF"/>
            </w:tcBorders>
            <w:shd w:val="clear" w:color="auto" w:fill="auto"/>
            <w:noWrap/>
            <w:vAlign w:val="center"/>
            <w:hideMark/>
          </w:tcPr>
          <w:p w14:paraId="274EB09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1,771</w:t>
            </w:r>
          </w:p>
        </w:tc>
      </w:tr>
      <w:tr w:rsidR="007940B2" w:rsidRPr="0011239F" w14:paraId="6BA74958" w14:textId="77777777" w:rsidTr="003C6E9F">
        <w:trPr>
          <w:trHeight w:val="225"/>
        </w:trPr>
        <w:tc>
          <w:tcPr>
            <w:tcW w:w="3154" w:type="pct"/>
            <w:tcBorders>
              <w:top w:val="nil"/>
              <w:left w:val="single" w:sz="4" w:space="0" w:color="FFFFFF"/>
              <w:bottom w:val="nil"/>
              <w:right w:val="single" w:sz="4" w:space="0" w:color="FFFFFF"/>
            </w:tcBorders>
            <w:shd w:val="clear" w:color="auto" w:fill="auto"/>
            <w:noWrap/>
            <w:vAlign w:val="center"/>
            <w:hideMark/>
          </w:tcPr>
          <w:p w14:paraId="736E0FA0"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Receipts</w:t>
            </w:r>
          </w:p>
        </w:tc>
        <w:tc>
          <w:tcPr>
            <w:tcW w:w="615" w:type="pct"/>
            <w:tcBorders>
              <w:top w:val="nil"/>
              <w:left w:val="nil"/>
              <w:bottom w:val="nil"/>
              <w:right w:val="single" w:sz="4" w:space="0" w:color="FFFFFF"/>
            </w:tcBorders>
            <w:shd w:val="clear" w:color="auto" w:fill="auto"/>
            <w:noWrap/>
            <w:vAlign w:val="center"/>
            <w:hideMark/>
          </w:tcPr>
          <w:p w14:paraId="605A6DC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7,826</w:t>
            </w:r>
          </w:p>
        </w:tc>
        <w:tc>
          <w:tcPr>
            <w:tcW w:w="618" w:type="pct"/>
            <w:gridSpan w:val="2"/>
            <w:tcBorders>
              <w:top w:val="nil"/>
              <w:left w:val="nil"/>
              <w:bottom w:val="nil"/>
              <w:right w:val="single" w:sz="4" w:space="0" w:color="FFFFFF"/>
            </w:tcBorders>
            <w:shd w:val="clear" w:color="auto" w:fill="auto"/>
            <w:noWrap/>
            <w:vAlign w:val="center"/>
            <w:hideMark/>
          </w:tcPr>
          <w:p w14:paraId="0832407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3,213</w:t>
            </w:r>
          </w:p>
        </w:tc>
        <w:tc>
          <w:tcPr>
            <w:tcW w:w="613" w:type="pct"/>
            <w:tcBorders>
              <w:top w:val="nil"/>
              <w:left w:val="nil"/>
              <w:bottom w:val="nil"/>
              <w:right w:val="single" w:sz="4" w:space="0" w:color="FFFFFF"/>
            </w:tcBorders>
            <w:shd w:val="clear" w:color="auto" w:fill="auto"/>
            <w:noWrap/>
            <w:vAlign w:val="center"/>
            <w:hideMark/>
          </w:tcPr>
          <w:p w14:paraId="0AE0C30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4,005</w:t>
            </w:r>
          </w:p>
        </w:tc>
      </w:tr>
      <w:tr w:rsidR="007940B2" w:rsidRPr="0011239F" w14:paraId="65321671" w14:textId="77777777" w:rsidTr="00A11350">
        <w:trPr>
          <w:trHeight w:val="340"/>
        </w:trPr>
        <w:tc>
          <w:tcPr>
            <w:tcW w:w="3154"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BB5B8B2" w14:textId="77777777" w:rsidR="007940B2" w:rsidRPr="0011239F" w:rsidRDefault="007940B2" w:rsidP="003C6E9F">
            <w:pPr>
              <w:ind w:firstLineChars="100" w:firstLine="181"/>
              <w:rPr>
                <w:rFonts w:ascii="Arial" w:hAnsi="Arial" w:cs="Arial"/>
                <w:b/>
                <w:bCs/>
                <w:color w:val="25A9E1"/>
                <w:sz w:val="18"/>
                <w:szCs w:val="18"/>
                <w:lang w:eastAsia="en-AU"/>
              </w:rPr>
            </w:pPr>
            <w:r w:rsidRPr="0011239F">
              <w:rPr>
                <w:rFonts w:ascii="Arial" w:hAnsi="Arial" w:cs="Arial"/>
                <w:b/>
                <w:bCs/>
                <w:color w:val="25A9E1"/>
                <w:sz w:val="18"/>
                <w:szCs w:val="18"/>
                <w:lang w:eastAsia="en-AU"/>
              </w:rPr>
              <w:t>Total Receipts</w:t>
            </w:r>
          </w:p>
        </w:tc>
        <w:tc>
          <w:tcPr>
            <w:tcW w:w="615" w:type="pct"/>
            <w:tcBorders>
              <w:top w:val="single" w:sz="4" w:space="0" w:color="auto"/>
              <w:left w:val="nil"/>
              <w:bottom w:val="single" w:sz="4" w:space="0" w:color="auto"/>
              <w:right w:val="single" w:sz="4" w:space="0" w:color="FFFFFF"/>
            </w:tcBorders>
            <w:shd w:val="clear" w:color="auto" w:fill="auto"/>
            <w:noWrap/>
            <w:vAlign w:val="center"/>
            <w:hideMark/>
          </w:tcPr>
          <w:p w14:paraId="557B44BA"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166,565</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5087905" w14:textId="4E31EFED"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175,</w:t>
            </w:r>
            <w:r w:rsidR="00C41E0C" w:rsidRPr="0011239F">
              <w:rPr>
                <w:rFonts w:ascii="Arial" w:hAnsi="Arial" w:cs="Arial"/>
                <w:b/>
                <w:bCs/>
                <w:color w:val="25A9E1"/>
                <w:sz w:val="18"/>
                <w:szCs w:val="18"/>
                <w:lang w:eastAsia="en-AU"/>
              </w:rPr>
              <w:t>812</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6117B2C5" w14:textId="6CCE32F5"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144,</w:t>
            </w:r>
            <w:r w:rsidR="009A5765" w:rsidRPr="0011239F">
              <w:rPr>
                <w:rFonts w:ascii="Arial" w:hAnsi="Arial" w:cs="Arial"/>
                <w:b/>
                <w:bCs/>
                <w:color w:val="25A9E1"/>
                <w:sz w:val="18"/>
                <w:szCs w:val="18"/>
                <w:lang w:eastAsia="en-AU"/>
              </w:rPr>
              <w:t>702</w:t>
            </w:r>
          </w:p>
        </w:tc>
      </w:tr>
      <w:tr w:rsidR="007940B2" w:rsidRPr="0011239F" w14:paraId="4DC88402" w14:textId="77777777" w:rsidTr="00A11350">
        <w:trPr>
          <w:trHeight w:val="340"/>
        </w:trPr>
        <w:tc>
          <w:tcPr>
            <w:tcW w:w="3154" w:type="pct"/>
            <w:tcBorders>
              <w:top w:val="nil"/>
              <w:left w:val="single" w:sz="4" w:space="0" w:color="FFFFFF"/>
              <w:bottom w:val="single" w:sz="4" w:space="0" w:color="auto"/>
              <w:right w:val="single" w:sz="4" w:space="0" w:color="FFFFFF"/>
            </w:tcBorders>
            <w:shd w:val="clear" w:color="auto" w:fill="auto"/>
            <w:noWrap/>
            <w:vAlign w:val="center"/>
            <w:hideMark/>
          </w:tcPr>
          <w:p w14:paraId="4D93D5F3"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Operating Activities</w:t>
            </w:r>
          </w:p>
        </w:tc>
        <w:tc>
          <w:tcPr>
            <w:tcW w:w="615" w:type="pct"/>
            <w:tcBorders>
              <w:top w:val="nil"/>
              <w:left w:val="nil"/>
              <w:bottom w:val="single" w:sz="4" w:space="0" w:color="auto"/>
              <w:right w:val="single" w:sz="4" w:space="0" w:color="FFFFFF"/>
            </w:tcBorders>
            <w:shd w:val="clear" w:color="auto" w:fill="auto"/>
            <w:noWrap/>
            <w:vAlign w:val="center"/>
            <w:hideMark/>
          </w:tcPr>
          <w:p w14:paraId="3B83B082"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6,172</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46172DEA" w14:textId="3D85D55E"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5,4</w:t>
            </w:r>
            <w:r w:rsidR="004E4AEF" w:rsidRPr="0011239F">
              <w:rPr>
                <w:rFonts w:ascii="Arial" w:hAnsi="Arial" w:cs="Arial"/>
                <w:b/>
                <w:bCs/>
                <w:color w:val="25A9E1"/>
                <w:sz w:val="18"/>
                <w:szCs w:val="18"/>
                <w:lang w:eastAsia="en-AU"/>
              </w:rPr>
              <w:t>56</w:t>
            </w:r>
          </w:p>
        </w:tc>
        <w:tc>
          <w:tcPr>
            <w:tcW w:w="613" w:type="pct"/>
            <w:tcBorders>
              <w:top w:val="nil"/>
              <w:left w:val="nil"/>
              <w:bottom w:val="single" w:sz="4" w:space="0" w:color="auto"/>
              <w:right w:val="single" w:sz="4" w:space="0" w:color="FFFFFF"/>
            </w:tcBorders>
            <w:shd w:val="clear" w:color="auto" w:fill="auto"/>
            <w:noWrap/>
            <w:vAlign w:val="center"/>
            <w:hideMark/>
          </w:tcPr>
          <w:p w14:paraId="024936D0" w14:textId="5257546F" w:rsidR="007940B2" w:rsidRPr="0011239F" w:rsidRDefault="009A5765"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4,894</w:t>
            </w:r>
          </w:p>
        </w:tc>
      </w:tr>
      <w:tr w:rsidR="007940B2" w:rsidRPr="0011239F" w14:paraId="64418BCF"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207D0E48"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Investing Activities</w:t>
            </w:r>
          </w:p>
        </w:tc>
        <w:tc>
          <w:tcPr>
            <w:tcW w:w="615" w:type="pct"/>
            <w:tcBorders>
              <w:top w:val="nil"/>
              <w:left w:val="nil"/>
              <w:bottom w:val="single" w:sz="4" w:space="0" w:color="FFFFFF"/>
              <w:right w:val="single" w:sz="4" w:space="0" w:color="FFFFFF"/>
            </w:tcBorders>
            <w:shd w:val="clear" w:color="auto" w:fill="auto"/>
            <w:noWrap/>
            <w:vAlign w:val="center"/>
            <w:hideMark/>
          </w:tcPr>
          <w:p w14:paraId="7899AA8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A3117F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0870A39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6B8DFB71"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419D72DE"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Sale of Property, Plant and Equipment</w:t>
            </w:r>
          </w:p>
        </w:tc>
        <w:tc>
          <w:tcPr>
            <w:tcW w:w="615" w:type="pct"/>
            <w:tcBorders>
              <w:top w:val="nil"/>
              <w:left w:val="nil"/>
              <w:bottom w:val="single" w:sz="4" w:space="0" w:color="FFFFFF"/>
              <w:right w:val="single" w:sz="4" w:space="0" w:color="FFFFFF"/>
            </w:tcBorders>
            <w:shd w:val="clear" w:color="auto" w:fill="auto"/>
            <w:noWrap/>
            <w:vAlign w:val="center"/>
            <w:hideMark/>
          </w:tcPr>
          <w:p w14:paraId="504C935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30</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24BDC25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ED4FA2B" w14:textId="7B4F05A1" w:rsidR="007940B2" w:rsidRPr="0011239F" w:rsidRDefault="009A5765"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30</w:t>
            </w:r>
          </w:p>
        </w:tc>
      </w:tr>
      <w:tr w:rsidR="007940B2" w:rsidRPr="0011239F" w14:paraId="646EFB89"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40F4044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Purchases of Property, Plant and Equipment</w:t>
            </w:r>
          </w:p>
        </w:tc>
        <w:tc>
          <w:tcPr>
            <w:tcW w:w="615" w:type="pct"/>
            <w:tcBorders>
              <w:top w:val="nil"/>
              <w:left w:val="nil"/>
              <w:bottom w:val="single" w:sz="4" w:space="0" w:color="FFFFFF"/>
              <w:right w:val="single" w:sz="4" w:space="0" w:color="FFFFFF"/>
            </w:tcBorders>
            <w:shd w:val="clear" w:color="auto" w:fill="auto"/>
            <w:noWrap/>
            <w:vAlign w:val="center"/>
            <w:hideMark/>
          </w:tcPr>
          <w:p w14:paraId="6C54022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DE3C2D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(280)</w:t>
            </w:r>
          </w:p>
        </w:tc>
        <w:tc>
          <w:tcPr>
            <w:tcW w:w="613" w:type="pct"/>
            <w:tcBorders>
              <w:top w:val="nil"/>
              <w:left w:val="nil"/>
              <w:bottom w:val="single" w:sz="4" w:space="0" w:color="FFFFFF"/>
              <w:right w:val="single" w:sz="4" w:space="0" w:color="FFFFFF"/>
            </w:tcBorders>
            <w:shd w:val="clear" w:color="auto" w:fill="auto"/>
            <w:noWrap/>
            <w:vAlign w:val="center"/>
            <w:hideMark/>
          </w:tcPr>
          <w:p w14:paraId="55B6E4A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1744CA9"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10B4B64D"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Sale of Investments</w:t>
            </w:r>
          </w:p>
        </w:tc>
        <w:tc>
          <w:tcPr>
            <w:tcW w:w="615" w:type="pct"/>
            <w:tcBorders>
              <w:top w:val="nil"/>
              <w:left w:val="nil"/>
              <w:bottom w:val="single" w:sz="4" w:space="0" w:color="FFFFFF"/>
              <w:right w:val="single" w:sz="4" w:space="0" w:color="FFFFFF"/>
            </w:tcBorders>
            <w:shd w:val="clear" w:color="auto" w:fill="auto"/>
            <w:noWrap/>
            <w:vAlign w:val="center"/>
            <w:hideMark/>
          </w:tcPr>
          <w:p w14:paraId="7FC2614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F1B525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63384A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C04A42E"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15ADDB5E"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Purchases of Investments</w:t>
            </w:r>
          </w:p>
        </w:tc>
        <w:tc>
          <w:tcPr>
            <w:tcW w:w="615" w:type="pct"/>
            <w:tcBorders>
              <w:top w:val="nil"/>
              <w:left w:val="nil"/>
              <w:bottom w:val="single" w:sz="4" w:space="0" w:color="FFFFFF"/>
              <w:right w:val="single" w:sz="4" w:space="0" w:color="FFFFFF"/>
            </w:tcBorders>
            <w:shd w:val="clear" w:color="auto" w:fill="auto"/>
            <w:noWrap/>
            <w:vAlign w:val="center"/>
            <w:hideMark/>
          </w:tcPr>
          <w:p w14:paraId="49C5753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372FD26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40A744B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379B818"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091B684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Advances Repayments Received</w:t>
            </w:r>
          </w:p>
        </w:tc>
        <w:tc>
          <w:tcPr>
            <w:tcW w:w="615" w:type="pct"/>
            <w:tcBorders>
              <w:top w:val="nil"/>
              <w:left w:val="nil"/>
              <w:bottom w:val="single" w:sz="4" w:space="0" w:color="FFFFFF"/>
              <w:right w:val="single" w:sz="4" w:space="0" w:color="FFFFFF"/>
            </w:tcBorders>
            <w:shd w:val="clear" w:color="auto" w:fill="auto"/>
            <w:noWrap/>
            <w:vAlign w:val="center"/>
            <w:hideMark/>
          </w:tcPr>
          <w:p w14:paraId="7B7C577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C344AB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D24450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4092619"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4F986FA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Advances made</w:t>
            </w:r>
          </w:p>
        </w:tc>
        <w:tc>
          <w:tcPr>
            <w:tcW w:w="615" w:type="pct"/>
            <w:tcBorders>
              <w:top w:val="nil"/>
              <w:left w:val="nil"/>
              <w:bottom w:val="single" w:sz="4" w:space="0" w:color="FFFFFF"/>
              <w:right w:val="single" w:sz="4" w:space="0" w:color="FFFFFF"/>
            </w:tcBorders>
            <w:shd w:val="clear" w:color="auto" w:fill="auto"/>
            <w:noWrap/>
            <w:vAlign w:val="center"/>
            <w:hideMark/>
          </w:tcPr>
          <w:p w14:paraId="2600019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694A6A0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6D27CC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42503D4" w14:textId="77777777" w:rsidTr="003C6E9F">
        <w:trPr>
          <w:trHeight w:val="225"/>
        </w:trPr>
        <w:tc>
          <w:tcPr>
            <w:tcW w:w="3154" w:type="pct"/>
            <w:tcBorders>
              <w:top w:val="nil"/>
              <w:left w:val="single" w:sz="4" w:space="0" w:color="FFFFFF"/>
              <w:bottom w:val="nil"/>
              <w:right w:val="single" w:sz="4" w:space="0" w:color="FFFFFF"/>
            </w:tcBorders>
            <w:shd w:val="clear" w:color="auto" w:fill="auto"/>
            <w:noWrap/>
            <w:vAlign w:val="center"/>
            <w:hideMark/>
          </w:tcPr>
          <w:p w14:paraId="5E075E1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Investing</w:t>
            </w:r>
          </w:p>
        </w:tc>
        <w:tc>
          <w:tcPr>
            <w:tcW w:w="615" w:type="pct"/>
            <w:tcBorders>
              <w:top w:val="nil"/>
              <w:left w:val="nil"/>
              <w:bottom w:val="nil"/>
              <w:right w:val="single" w:sz="4" w:space="0" w:color="FFFFFF"/>
            </w:tcBorders>
            <w:shd w:val="clear" w:color="auto" w:fill="auto"/>
            <w:noWrap/>
            <w:vAlign w:val="center"/>
            <w:hideMark/>
          </w:tcPr>
          <w:p w14:paraId="5BB10CA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(1,584)</w:t>
            </w:r>
          </w:p>
        </w:tc>
        <w:tc>
          <w:tcPr>
            <w:tcW w:w="618" w:type="pct"/>
            <w:gridSpan w:val="2"/>
            <w:tcBorders>
              <w:top w:val="nil"/>
              <w:left w:val="nil"/>
              <w:bottom w:val="nil"/>
              <w:right w:val="single" w:sz="4" w:space="0" w:color="FFFFFF"/>
            </w:tcBorders>
            <w:shd w:val="clear" w:color="auto" w:fill="auto"/>
            <w:noWrap/>
            <w:vAlign w:val="center"/>
            <w:hideMark/>
          </w:tcPr>
          <w:p w14:paraId="323FC91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(1,100)</w:t>
            </w:r>
          </w:p>
        </w:tc>
        <w:tc>
          <w:tcPr>
            <w:tcW w:w="613" w:type="pct"/>
            <w:tcBorders>
              <w:top w:val="nil"/>
              <w:left w:val="nil"/>
              <w:bottom w:val="nil"/>
              <w:right w:val="single" w:sz="4" w:space="0" w:color="FFFFFF"/>
            </w:tcBorders>
            <w:shd w:val="clear" w:color="auto" w:fill="auto"/>
            <w:noWrap/>
            <w:vAlign w:val="center"/>
            <w:hideMark/>
          </w:tcPr>
          <w:p w14:paraId="5411A64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(2,200)</w:t>
            </w:r>
          </w:p>
        </w:tc>
      </w:tr>
      <w:tr w:rsidR="007940B2" w:rsidRPr="0011239F" w14:paraId="1EAB75D1" w14:textId="77777777" w:rsidTr="00A11350">
        <w:trPr>
          <w:trHeight w:val="340"/>
        </w:trPr>
        <w:tc>
          <w:tcPr>
            <w:tcW w:w="3154"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B10B687"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Investing Activities</w:t>
            </w:r>
          </w:p>
        </w:tc>
        <w:tc>
          <w:tcPr>
            <w:tcW w:w="615" w:type="pct"/>
            <w:tcBorders>
              <w:top w:val="single" w:sz="4" w:space="0" w:color="auto"/>
              <w:left w:val="nil"/>
              <w:bottom w:val="single" w:sz="4" w:space="0" w:color="auto"/>
              <w:right w:val="single" w:sz="4" w:space="0" w:color="FFFFFF"/>
            </w:tcBorders>
            <w:shd w:val="clear" w:color="auto" w:fill="auto"/>
            <w:noWrap/>
            <w:vAlign w:val="center"/>
            <w:hideMark/>
          </w:tcPr>
          <w:p w14:paraId="2B374311"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(1,554)</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0214BDD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(1,380)</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70C3B2B3" w14:textId="2197F37E"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w:t>
            </w:r>
            <w:r w:rsidR="009A5765" w:rsidRPr="0011239F">
              <w:rPr>
                <w:rFonts w:ascii="Arial" w:hAnsi="Arial" w:cs="Arial"/>
                <w:b/>
                <w:bCs/>
                <w:color w:val="25A9E1"/>
                <w:sz w:val="18"/>
                <w:szCs w:val="18"/>
                <w:lang w:eastAsia="en-AU"/>
              </w:rPr>
              <w:t>170</w:t>
            </w:r>
            <w:r w:rsidRPr="0011239F">
              <w:rPr>
                <w:rFonts w:ascii="Arial" w:hAnsi="Arial" w:cs="Arial"/>
                <w:b/>
                <w:bCs/>
                <w:color w:val="25A9E1"/>
                <w:sz w:val="18"/>
                <w:szCs w:val="18"/>
                <w:lang w:eastAsia="en-AU"/>
              </w:rPr>
              <w:t>)</w:t>
            </w:r>
          </w:p>
        </w:tc>
      </w:tr>
      <w:tr w:rsidR="007940B2" w:rsidRPr="0011239F" w14:paraId="452A5669"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32D395FD"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Financing Activities</w:t>
            </w:r>
          </w:p>
        </w:tc>
        <w:tc>
          <w:tcPr>
            <w:tcW w:w="615" w:type="pct"/>
            <w:tcBorders>
              <w:top w:val="nil"/>
              <w:left w:val="nil"/>
              <w:bottom w:val="single" w:sz="4" w:space="0" w:color="FFFFFF"/>
              <w:right w:val="single" w:sz="4" w:space="0" w:color="FFFFFF"/>
            </w:tcBorders>
            <w:shd w:val="clear" w:color="auto" w:fill="auto"/>
            <w:noWrap/>
            <w:vAlign w:val="center"/>
            <w:hideMark/>
          </w:tcPr>
          <w:p w14:paraId="7A2DD43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4B32280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5E357D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378EDFE2"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0441CCC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Borrowings and Advances</w:t>
            </w:r>
          </w:p>
        </w:tc>
        <w:tc>
          <w:tcPr>
            <w:tcW w:w="615" w:type="pct"/>
            <w:tcBorders>
              <w:top w:val="nil"/>
              <w:left w:val="nil"/>
              <w:bottom w:val="single" w:sz="4" w:space="0" w:color="FFFFFF"/>
              <w:right w:val="single" w:sz="4" w:space="0" w:color="FFFFFF"/>
            </w:tcBorders>
            <w:shd w:val="clear" w:color="auto" w:fill="auto"/>
            <w:noWrap/>
            <w:vAlign w:val="center"/>
            <w:hideMark/>
          </w:tcPr>
          <w:p w14:paraId="6B5A48A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1A1543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5292C2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D40A843"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7F2FA3A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Repayment of Borrowings and Advances</w:t>
            </w:r>
          </w:p>
        </w:tc>
        <w:tc>
          <w:tcPr>
            <w:tcW w:w="615" w:type="pct"/>
            <w:tcBorders>
              <w:top w:val="nil"/>
              <w:left w:val="nil"/>
              <w:bottom w:val="single" w:sz="4" w:space="0" w:color="FFFFFF"/>
              <w:right w:val="single" w:sz="4" w:space="0" w:color="FFFFFF"/>
            </w:tcBorders>
            <w:shd w:val="clear" w:color="auto" w:fill="auto"/>
            <w:noWrap/>
            <w:vAlign w:val="center"/>
            <w:hideMark/>
          </w:tcPr>
          <w:p w14:paraId="61A6F96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5DBB422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3E4D80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(4,656)</w:t>
            </w:r>
          </w:p>
        </w:tc>
      </w:tr>
      <w:tr w:rsidR="007940B2" w:rsidRPr="0011239F" w14:paraId="7060B6B8"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2483E7D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Dividends Paid</w:t>
            </w:r>
          </w:p>
        </w:tc>
        <w:tc>
          <w:tcPr>
            <w:tcW w:w="615" w:type="pct"/>
            <w:tcBorders>
              <w:top w:val="nil"/>
              <w:left w:val="nil"/>
              <w:bottom w:val="single" w:sz="4" w:space="0" w:color="FFFFFF"/>
              <w:right w:val="single" w:sz="4" w:space="0" w:color="FFFFFF"/>
            </w:tcBorders>
            <w:shd w:val="clear" w:color="auto" w:fill="auto"/>
            <w:noWrap/>
            <w:vAlign w:val="center"/>
            <w:hideMark/>
          </w:tcPr>
          <w:p w14:paraId="7361B9E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724F55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FE49CD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BD2B3EC"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494EA4E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Financing</w:t>
            </w:r>
          </w:p>
        </w:tc>
        <w:tc>
          <w:tcPr>
            <w:tcW w:w="615" w:type="pct"/>
            <w:tcBorders>
              <w:top w:val="nil"/>
              <w:left w:val="nil"/>
              <w:bottom w:val="single" w:sz="4" w:space="0" w:color="FFFFFF"/>
              <w:right w:val="single" w:sz="4" w:space="0" w:color="FFFFFF"/>
            </w:tcBorders>
            <w:shd w:val="clear" w:color="auto" w:fill="auto"/>
            <w:noWrap/>
            <w:vAlign w:val="center"/>
            <w:hideMark/>
          </w:tcPr>
          <w:p w14:paraId="6919400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08BB48E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3E7B9E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A736851" w14:textId="77777777" w:rsidTr="003C6E9F">
        <w:trPr>
          <w:trHeight w:val="225"/>
        </w:trPr>
        <w:tc>
          <w:tcPr>
            <w:tcW w:w="3154" w:type="pct"/>
            <w:tcBorders>
              <w:top w:val="nil"/>
              <w:left w:val="single" w:sz="4" w:space="0" w:color="FFFFFF"/>
              <w:bottom w:val="single" w:sz="4" w:space="0" w:color="FFFFFF"/>
              <w:right w:val="single" w:sz="4" w:space="0" w:color="FFFFFF"/>
            </w:tcBorders>
            <w:shd w:val="clear" w:color="auto" w:fill="auto"/>
            <w:noWrap/>
            <w:vAlign w:val="center"/>
            <w:hideMark/>
          </w:tcPr>
          <w:p w14:paraId="1D4D2DA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Capital Appropriation - Equity Appropriation</w:t>
            </w:r>
          </w:p>
        </w:tc>
        <w:tc>
          <w:tcPr>
            <w:tcW w:w="615" w:type="pct"/>
            <w:tcBorders>
              <w:top w:val="nil"/>
              <w:left w:val="nil"/>
              <w:bottom w:val="single" w:sz="4" w:space="0" w:color="FFFFFF"/>
              <w:right w:val="single" w:sz="4" w:space="0" w:color="FFFFFF"/>
            </w:tcBorders>
            <w:shd w:val="clear" w:color="auto" w:fill="auto"/>
            <w:noWrap/>
            <w:vAlign w:val="center"/>
            <w:hideMark/>
          </w:tcPr>
          <w:p w14:paraId="34DCBC4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single" w:sz="4" w:space="0" w:color="FFFFFF"/>
              <w:right w:val="single" w:sz="4" w:space="0" w:color="FFFFFF"/>
            </w:tcBorders>
            <w:shd w:val="clear" w:color="auto" w:fill="auto"/>
            <w:noWrap/>
            <w:vAlign w:val="center"/>
            <w:hideMark/>
          </w:tcPr>
          <w:p w14:paraId="1330BA0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4F5C7EA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B83A704" w14:textId="77777777" w:rsidTr="003C6E9F">
        <w:trPr>
          <w:trHeight w:val="225"/>
        </w:trPr>
        <w:tc>
          <w:tcPr>
            <w:tcW w:w="3154" w:type="pct"/>
            <w:tcBorders>
              <w:top w:val="nil"/>
              <w:left w:val="single" w:sz="4" w:space="0" w:color="FFFFFF"/>
              <w:bottom w:val="nil"/>
              <w:right w:val="single" w:sz="4" w:space="0" w:color="FFFFFF"/>
            </w:tcBorders>
            <w:shd w:val="clear" w:color="auto" w:fill="auto"/>
            <w:noWrap/>
            <w:vAlign w:val="center"/>
            <w:hideMark/>
          </w:tcPr>
          <w:p w14:paraId="2875C63E"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Cash Equity Injection to For-Profit Entities</w:t>
            </w:r>
          </w:p>
        </w:tc>
        <w:tc>
          <w:tcPr>
            <w:tcW w:w="615" w:type="pct"/>
            <w:tcBorders>
              <w:top w:val="nil"/>
              <w:left w:val="nil"/>
              <w:bottom w:val="nil"/>
              <w:right w:val="single" w:sz="4" w:space="0" w:color="FFFFFF"/>
            </w:tcBorders>
            <w:shd w:val="clear" w:color="auto" w:fill="auto"/>
            <w:noWrap/>
            <w:vAlign w:val="center"/>
            <w:hideMark/>
          </w:tcPr>
          <w:p w14:paraId="4942F1B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nil"/>
              <w:right w:val="single" w:sz="4" w:space="0" w:color="FFFFFF"/>
            </w:tcBorders>
            <w:shd w:val="clear" w:color="auto" w:fill="auto"/>
            <w:noWrap/>
            <w:vAlign w:val="center"/>
            <w:hideMark/>
          </w:tcPr>
          <w:p w14:paraId="283F03D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nil"/>
              <w:right w:val="single" w:sz="4" w:space="0" w:color="FFFFFF"/>
            </w:tcBorders>
            <w:shd w:val="clear" w:color="auto" w:fill="auto"/>
            <w:noWrap/>
            <w:vAlign w:val="center"/>
            <w:hideMark/>
          </w:tcPr>
          <w:p w14:paraId="1483489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FD5690F" w14:textId="77777777" w:rsidTr="00A11350">
        <w:trPr>
          <w:trHeight w:val="340"/>
        </w:trPr>
        <w:tc>
          <w:tcPr>
            <w:tcW w:w="3154"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4AAEABE"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Financing Activities</w:t>
            </w:r>
          </w:p>
        </w:tc>
        <w:tc>
          <w:tcPr>
            <w:tcW w:w="615" w:type="pct"/>
            <w:tcBorders>
              <w:top w:val="single" w:sz="4" w:space="0" w:color="auto"/>
              <w:left w:val="nil"/>
              <w:bottom w:val="single" w:sz="4" w:space="0" w:color="auto"/>
              <w:right w:val="single" w:sz="4" w:space="0" w:color="FFFFFF"/>
            </w:tcBorders>
            <w:shd w:val="clear" w:color="auto" w:fill="auto"/>
            <w:noWrap/>
            <w:vAlign w:val="center"/>
            <w:hideMark/>
          </w:tcPr>
          <w:p w14:paraId="3BFC4DE5"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9451FFC"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4BE8DF9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(4,656)</w:t>
            </w:r>
          </w:p>
        </w:tc>
      </w:tr>
      <w:tr w:rsidR="007940B2" w:rsidRPr="0011239F" w14:paraId="67B28A1A" w14:textId="77777777" w:rsidTr="00A11350">
        <w:trPr>
          <w:trHeight w:val="340"/>
        </w:trPr>
        <w:tc>
          <w:tcPr>
            <w:tcW w:w="3154" w:type="pct"/>
            <w:tcBorders>
              <w:top w:val="nil"/>
              <w:left w:val="single" w:sz="4" w:space="0" w:color="FFFFFF"/>
              <w:bottom w:val="single" w:sz="4" w:space="0" w:color="auto"/>
              <w:right w:val="single" w:sz="4" w:space="0" w:color="FFFFFF"/>
            </w:tcBorders>
            <w:shd w:val="clear" w:color="auto" w:fill="auto"/>
            <w:noWrap/>
            <w:vAlign w:val="center"/>
            <w:hideMark/>
          </w:tcPr>
          <w:p w14:paraId="792C44CE"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Net Increase/(Decrease) in Cash</w:t>
            </w:r>
          </w:p>
        </w:tc>
        <w:tc>
          <w:tcPr>
            <w:tcW w:w="615" w:type="pct"/>
            <w:tcBorders>
              <w:top w:val="nil"/>
              <w:left w:val="nil"/>
              <w:bottom w:val="single" w:sz="4" w:space="0" w:color="auto"/>
              <w:right w:val="single" w:sz="4" w:space="0" w:color="FFFFFF"/>
            </w:tcBorders>
            <w:shd w:val="clear" w:color="auto" w:fill="auto"/>
            <w:noWrap/>
            <w:vAlign w:val="center"/>
            <w:hideMark/>
          </w:tcPr>
          <w:p w14:paraId="3258834E"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4,618</w:t>
            </w:r>
          </w:p>
        </w:tc>
        <w:tc>
          <w:tcPr>
            <w:tcW w:w="618" w:type="pct"/>
            <w:gridSpan w:val="2"/>
            <w:tcBorders>
              <w:top w:val="nil"/>
              <w:left w:val="nil"/>
              <w:bottom w:val="single" w:sz="4" w:space="0" w:color="auto"/>
              <w:right w:val="single" w:sz="4" w:space="0" w:color="FFFFFF"/>
            </w:tcBorders>
            <w:shd w:val="clear" w:color="auto" w:fill="auto"/>
            <w:noWrap/>
            <w:vAlign w:val="center"/>
            <w:hideMark/>
          </w:tcPr>
          <w:p w14:paraId="08B2138B" w14:textId="5D64E1F1"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4,0</w:t>
            </w:r>
            <w:r w:rsidR="004E4AEF" w:rsidRPr="0011239F">
              <w:rPr>
                <w:rFonts w:ascii="Arial" w:hAnsi="Arial" w:cs="Arial"/>
                <w:b/>
                <w:bCs/>
                <w:color w:val="25A9E1"/>
                <w:sz w:val="18"/>
                <w:szCs w:val="18"/>
                <w:lang w:eastAsia="en-AU"/>
              </w:rPr>
              <w:t>76</w:t>
            </w:r>
          </w:p>
        </w:tc>
        <w:tc>
          <w:tcPr>
            <w:tcW w:w="613" w:type="pct"/>
            <w:tcBorders>
              <w:top w:val="nil"/>
              <w:left w:val="nil"/>
              <w:bottom w:val="single" w:sz="4" w:space="0" w:color="auto"/>
              <w:right w:val="single" w:sz="4" w:space="0" w:color="FFFFFF"/>
            </w:tcBorders>
            <w:shd w:val="clear" w:color="auto" w:fill="auto"/>
            <w:noWrap/>
            <w:vAlign w:val="center"/>
            <w:hideMark/>
          </w:tcPr>
          <w:p w14:paraId="32A4648F"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(1,932)</w:t>
            </w:r>
          </w:p>
        </w:tc>
      </w:tr>
      <w:tr w:rsidR="007940B2" w:rsidRPr="0011239F" w14:paraId="7724D917" w14:textId="77777777" w:rsidTr="003C6E9F">
        <w:trPr>
          <w:trHeight w:val="225"/>
        </w:trPr>
        <w:tc>
          <w:tcPr>
            <w:tcW w:w="3154" w:type="pct"/>
            <w:tcBorders>
              <w:top w:val="nil"/>
              <w:left w:val="single" w:sz="4" w:space="0" w:color="FFFFFF"/>
              <w:bottom w:val="nil"/>
              <w:right w:val="single" w:sz="4" w:space="0" w:color="FFFFFF"/>
            </w:tcBorders>
            <w:shd w:val="clear" w:color="auto" w:fill="auto"/>
            <w:noWrap/>
            <w:vAlign w:val="center"/>
            <w:hideMark/>
          </w:tcPr>
          <w:p w14:paraId="47690493"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Opening Cash and Cash Equivalents</w:t>
            </w:r>
          </w:p>
        </w:tc>
        <w:tc>
          <w:tcPr>
            <w:tcW w:w="615" w:type="pct"/>
            <w:tcBorders>
              <w:top w:val="nil"/>
              <w:left w:val="nil"/>
              <w:bottom w:val="nil"/>
              <w:right w:val="single" w:sz="4" w:space="0" w:color="FFFFFF"/>
            </w:tcBorders>
            <w:shd w:val="clear" w:color="auto" w:fill="auto"/>
            <w:noWrap/>
            <w:vAlign w:val="center"/>
            <w:hideMark/>
          </w:tcPr>
          <w:p w14:paraId="22E1624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2,233</w:t>
            </w:r>
          </w:p>
        </w:tc>
        <w:tc>
          <w:tcPr>
            <w:tcW w:w="618" w:type="pct"/>
            <w:gridSpan w:val="2"/>
            <w:tcBorders>
              <w:top w:val="nil"/>
              <w:left w:val="nil"/>
              <w:bottom w:val="nil"/>
              <w:right w:val="single" w:sz="4" w:space="0" w:color="FFFFFF"/>
            </w:tcBorders>
            <w:shd w:val="clear" w:color="auto" w:fill="auto"/>
            <w:noWrap/>
            <w:vAlign w:val="center"/>
            <w:hideMark/>
          </w:tcPr>
          <w:p w14:paraId="3B8426B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1,816</w:t>
            </w:r>
          </w:p>
        </w:tc>
        <w:tc>
          <w:tcPr>
            <w:tcW w:w="613" w:type="pct"/>
            <w:tcBorders>
              <w:top w:val="nil"/>
              <w:left w:val="nil"/>
              <w:bottom w:val="nil"/>
              <w:right w:val="single" w:sz="4" w:space="0" w:color="FFFFFF"/>
            </w:tcBorders>
            <w:shd w:val="clear" w:color="auto" w:fill="auto"/>
            <w:noWrap/>
            <w:vAlign w:val="center"/>
            <w:hideMark/>
          </w:tcPr>
          <w:p w14:paraId="57CD398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5,879</w:t>
            </w:r>
          </w:p>
        </w:tc>
      </w:tr>
      <w:tr w:rsidR="007940B2" w:rsidRPr="0011239F" w14:paraId="34AC3172" w14:textId="77777777" w:rsidTr="003C6E9F">
        <w:trPr>
          <w:trHeight w:val="225"/>
        </w:trPr>
        <w:tc>
          <w:tcPr>
            <w:tcW w:w="315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A93A8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Reclassification of Cash Equivalents</w:t>
            </w:r>
          </w:p>
        </w:tc>
        <w:tc>
          <w:tcPr>
            <w:tcW w:w="615" w:type="pct"/>
            <w:tcBorders>
              <w:top w:val="single" w:sz="4" w:space="0" w:color="FFFFFF"/>
              <w:left w:val="nil"/>
              <w:bottom w:val="single" w:sz="4" w:space="0" w:color="FFFFFF"/>
              <w:right w:val="single" w:sz="4" w:space="0" w:color="FFFFFF"/>
            </w:tcBorders>
            <w:shd w:val="clear" w:color="auto" w:fill="auto"/>
            <w:noWrap/>
            <w:vAlign w:val="center"/>
            <w:hideMark/>
          </w:tcPr>
          <w:p w14:paraId="0636E13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1,028</w:t>
            </w:r>
          </w:p>
        </w:tc>
        <w:tc>
          <w:tcPr>
            <w:tcW w:w="618"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026A360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3FA8400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3881EAD" w14:textId="77777777" w:rsidTr="003C6E9F">
        <w:trPr>
          <w:trHeight w:val="225"/>
        </w:trPr>
        <w:tc>
          <w:tcPr>
            <w:tcW w:w="3154" w:type="pct"/>
            <w:tcBorders>
              <w:top w:val="nil"/>
              <w:left w:val="single" w:sz="4" w:space="0" w:color="FFFFFF"/>
              <w:bottom w:val="nil"/>
              <w:right w:val="single" w:sz="4" w:space="0" w:color="FFFFFF"/>
            </w:tcBorders>
            <w:shd w:val="clear" w:color="auto" w:fill="auto"/>
            <w:vAlign w:val="center"/>
            <w:hideMark/>
          </w:tcPr>
          <w:p w14:paraId="4CF1AD0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Cash transferred in (out) </w:t>
            </w:r>
            <w:proofErr w:type="gramStart"/>
            <w:r w:rsidRPr="0011239F">
              <w:rPr>
                <w:rFonts w:ascii="Arial" w:hAnsi="Arial" w:cs="Arial"/>
                <w:color w:val="000000"/>
                <w:sz w:val="18"/>
                <w:szCs w:val="18"/>
                <w:lang w:eastAsia="en-AU"/>
              </w:rPr>
              <w:t>as a Result of</w:t>
            </w:r>
            <w:proofErr w:type="gramEnd"/>
            <w:r w:rsidRPr="0011239F">
              <w:rPr>
                <w:rFonts w:ascii="Arial" w:hAnsi="Arial" w:cs="Arial"/>
                <w:color w:val="000000"/>
                <w:sz w:val="18"/>
                <w:szCs w:val="18"/>
                <w:lang w:eastAsia="en-AU"/>
              </w:rPr>
              <w:t xml:space="preserve"> Administrative Restructuring</w:t>
            </w:r>
          </w:p>
        </w:tc>
        <w:tc>
          <w:tcPr>
            <w:tcW w:w="615" w:type="pct"/>
            <w:tcBorders>
              <w:top w:val="nil"/>
              <w:left w:val="nil"/>
              <w:bottom w:val="nil"/>
              <w:right w:val="single" w:sz="4" w:space="0" w:color="FFFFFF"/>
            </w:tcBorders>
            <w:shd w:val="clear" w:color="auto" w:fill="auto"/>
            <w:noWrap/>
            <w:vAlign w:val="center"/>
            <w:hideMark/>
          </w:tcPr>
          <w:p w14:paraId="6E88558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8" w:type="pct"/>
            <w:gridSpan w:val="2"/>
            <w:tcBorders>
              <w:top w:val="nil"/>
              <w:left w:val="nil"/>
              <w:bottom w:val="nil"/>
              <w:right w:val="single" w:sz="4" w:space="0" w:color="FFFFFF"/>
            </w:tcBorders>
            <w:shd w:val="clear" w:color="auto" w:fill="auto"/>
            <w:noWrap/>
            <w:vAlign w:val="center"/>
            <w:hideMark/>
          </w:tcPr>
          <w:p w14:paraId="7F46611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nil"/>
              <w:right w:val="single" w:sz="4" w:space="0" w:color="FFFFFF"/>
            </w:tcBorders>
            <w:shd w:val="clear" w:color="auto" w:fill="auto"/>
            <w:noWrap/>
            <w:vAlign w:val="center"/>
            <w:hideMark/>
          </w:tcPr>
          <w:p w14:paraId="4A0817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7BD771F" w14:textId="77777777" w:rsidTr="00A11350">
        <w:trPr>
          <w:trHeight w:val="340"/>
        </w:trPr>
        <w:tc>
          <w:tcPr>
            <w:tcW w:w="3154"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80D9ED4"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Closing Cash and Cash Equivalents</w:t>
            </w:r>
          </w:p>
        </w:tc>
        <w:tc>
          <w:tcPr>
            <w:tcW w:w="615" w:type="pct"/>
            <w:tcBorders>
              <w:top w:val="single" w:sz="4" w:space="0" w:color="auto"/>
              <w:left w:val="nil"/>
              <w:bottom w:val="single" w:sz="4" w:space="0" w:color="auto"/>
              <w:right w:val="single" w:sz="4" w:space="0" w:color="FFFFFF"/>
            </w:tcBorders>
            <w:shd w:val="clear" w:color="auto" w:fill="auto"/>
            <w:noWrap/>
            <w:vAlign w:val="center"/>
            <w:hideMark/>
          </w:tcPr>
          <w:p w14:paraId="0D92E58A"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7,879</w:t>
            </w:r>
          </w:p>
        </w:tc>
        <w:tc>
          <w:tcPr>
            <w:tcW w:w="6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77C8D4A" w14:textId="023CCB19"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5,8</w:t>
            </w:r>
            <w:r w:rsidR="004E4AEF" w:rsidRPr="0011239F">
              <w:rPr>
                <w:rFonts w:ascii="Arial" w:hAnsi="Arial" w:cs="Arial"/>
                <w:b/>
                <w:bCs/>
                <w:color w:val="25A9E1"/>
                <w:sz w:val="18"/>
                <w:szCs w:val="18"/>
                <w:lang w:eastAsia="en-AU"/>
              </w:rPr>
              <w:t>92</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60452586"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3,947</w:t>
            </w:r>
          </w:p>
        </w:tc>
      </w:tr>
    </w:tbl>
    <w:p w14:paraId="1A8FBA41" w14:textId="77777777" w:rsidR="007940B2" w:rsidRPr="0011239F" w:rsidRDefault="007940B2" w:rsidP="00653655">
      <w:pPr>
        <w:pStyle w:val="ListParagraph"/>
        <w:spacing w:before="360"/>
        <w:ind w:left="405"/>
        <w:rPr>
          <w:rFonts w:cs="Arial"/>
        </w:rPr>
      </w:pPr>
    </w:p>
    <w:p w14:paraId="16E908DD" w14:textId="08351202" w:rsidR="007940B2" w:rsidRPr="0011239F" w:rsidRDefault="007940B2" w:rsidP="00E27C10">
      <w:pPr>
        <w:rPr>
          <w:rFonts w:ascii="Arial" w:hAnsi="Arial" w:cs="Arial"/>
        </w:rPr>
      </w:pPr>
    </w:p>
    <w:p w14:paraId="507DE132" w14:textId="77777777" w:rsidR="00E27C10" w:rsidRPr="0011239F" w:rsidRDefault="00E27C10" w:rsidP="00653655">
      <w:pPr>
        <w:pStyle w:val="Heading3"/>
        <w:rPr>
          <w:rFonts w:cs="Arial"/>
        </w:rPr>
        <w:sectPr w:rsidR="00E27C10" w:rsidRPr="0011239F" w:rsidSect="00383B36">
          <w:headerReference w:type="even" r:id="rId26"/>
          <w:headerReference w:type="default" r:id="rId27"/>
          <w:headerReference w:type="first" r:id="rId28"/>
          <w:footerReference w:type="first" r:id="rId29"/>
          <w:pgSz w:w="11907" w:h="16840" w:code="9"/>
          <w:pgMar w:top="1134" w:right="1134" w:bottom="567" w:left="1134" w:header="454" w:footer="454" w:gutter="0"/>
          <w:cols w:space="720"/>
          <w:titlePg/>
          <w:docGrid w:linePitch="272"/>
        </w:sectPr>
      </w:pPr>
    </w:p>
    <w:p w14:paraId="0505B113" w14:textId="2ACE8981" w:rsidR="007940B2" w:rsidRPr="0011239F" w:rsidRDefault="007940B2" w:rsidP="005920E4">
      <w:pPr>
        <w:pStyle w:val="Heading3"/>
        <w:spacing w:before="0"/>
        <w:rPr>
          <w:rFonts w:cs="Arial"/>
        </w:rPr>
      </w:pPr>
      <w:r w:rsidRPr="0011239F">
        <w:rPr>
          <w:rFonts w:cs="Arial"/>
        </w:rPr>
        <w:lastRenderedPageBreak/>
        <w:t>TAFE Commission</w:t>
      </w:r>
    </w:p>
    <w:p w14:paraId="4666CE83" w14:textId="77777777" w:rsidR="007940B2" w:rsidRPr="0011239F" w:rsidRDefault="007940B2" w:rsidP="00653655">
      <w:pPr>
        <w:pStyle w:val="Heading4"/>
        <w:rPr>
          <w:rFonts w:cs="Arial"/>
          <w:lang w:eastAsia="en-AU"/>
        </w:rPr>
      </w:pPr>
      <w:r w:rsidRPr="0011239F">
        <w:rPr>
          <w:rFonts w:cs="Arial"/>
          <w:lang w:eastAsia="en-AU"/>
        </w:rPr>
        <w:t>Operating Statement</w:t>
      </w:r>
    </w:p>
    <w:tbl>
      <w:tblPr>
        <w:tblW w:w="5012" w:type="pct"/>
        <w:tblLook w:val="04A0" w:firstRow="1" w:lastRow="0" w:firstColumn="1" w:lastColumn="0" w:noHBand="0" w:noVBand="1"/>
        <w:tblCaption w:val="TAFE Commission"/>
        <w:tblDescription w:val="TAFE Commission - Operating Statement"/>
      </w:tblPr>
      <w:tblGrid>
        <w:gridCol w:w="6090"/>
        <w:gridCol w:w="8"/>
        <w:gridCol w:w="1183"/>
        <w:gridCol w:w="6"/>
        <w:gridCol w:w="1190"/>
        <w:gridCol w:w="1185"/>
      </w:tblGrid>
      <w:tr w:rsidR="003C6E9F" w:rsidRPr="0011239F" w14:paraId="696F039E" w14:textId="77777777" w:rsidTr="003C6E9F">
        <w:trPr>
          <w:trHeight w:val="283"/>
        </w:trPr>
        <w:tc>
          <w:tcPr>
            <w:tcW w:w="3156" w:type="pct"/>
            <w:gridSpan w:val="2"/>
            <w:shd w:val="clear" w:color="auto" w:fill="00ABE6"/>
            <w:vAlign w:val="center"/>
            <w:hideMark/>
          </w:tcPr>
          <w:p w14:paraId="5C0420E3"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31" w:type="pct"/>
            <w:gridSpan w:val="3"/>
            <w:shd w:val="clear" w:color="auto" w:fill="00ABE6"/>
            <w:vAlign w:val="bottom"/>
            <w:hideMark/>
          </w:tcPr>
          <w:p w14:paraId="256E8580"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3" w:type="pct"/>
            <w:shd w:val="clear" w:color="auto" w:fill="00ABE6"/>
            <w:vAlign w:val="bottom"/>
            <w:hideMark/>
          </w:tcPr>
          <w:p w14:paraId="1C043B98"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4FDB747F" w14:textId="77777777" w:rsidTr="003C6E9F">
        <w:trPr>
          <w:trHeight w:val="255"/>
        </w:trPr>
        <w:tc>
          <w:tcPr>
            <w:tcW w:w="3156" w:type="pct"/>
            <w:gridSpan w:val="2"/>
            <w:shd w:val="clear" w:color="auto" w:fill="00ABE6"/>
            <w:vAlign w:val="center"/>
            <w:hideMark/>
          </w:tcPr>
          <w:p w14:paraId="62EAB696"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gridSpan w:val="2"/>
            <w:shd w:val="clear" w:color="auto" w:fill="00ABE6"/>
            <w:vAlign w:val="center"/>
            <w:hideMark/>
          </w:tcPr>
          <w:p w14:paraId="616B91CD"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6" w:type="pct"/>
            <w:shd w:val="clear" w:color="auto" w:fill="00ABE6"/>
            <w:vAlign w:val="center"/>
            <w:hideMark/>
          </w:tcPr>
          <w:p w14:paraId="76C5423B"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3" w:type="pct"/>
            <w:shd w:val="clear" w:color="auto" w:fill="00ABE6"/>
            <w:vAlign w:val="center"/>
            <w:hideMark/>
          </w:tcPr>
          <w:p w14:paraId="088ACCB2"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2677699E" w14:textId="77777777" w:rsidTr="003C6E9F">
        <w:trPr>
          <w:trHeight w:val="238"/>
        </w:trPr>
        <w:tc>
          <w:tcPr>
            <w:tcW w:w="3156" w:type="pct"/>
            <w:gridSpan w:val="2"/>
            <w:shd w:val="clear" w:color="auto" w:fill="0A7CB9"/>
            <w:vAlign w:val="center"/>
            <w:hideMark/>
          </w:tcPr>
          <w:p w14:paraId="31110FF1"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gridSpan w:val="2"/>
            <w:shd w:val="clear" w:color="auto" w:fill="0A7CB9"/>
            <w:hideMark/>
          </w:tcPr>
          <w:p w14:paraId="769D684A"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6" w:type="pct"/>
            <w:shd w:val="clear" w:color="auto" w:fill="0A7CB9"/>
            <w:hideMark/>
          </w:tcPr>
          <w:p w14:paraId="0FB6D3A0"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3" w:type="pct"/>
            <w:shd w:val="clear" w:color="auto" w:fill="0A7CB9"/>
            <w:hideMark/>
          </w:tcPr>
          <w:p w14:paraId="73E15499"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3A82913A" w14:textId="77777777" w:rsidTr="003C6E9F">
        <w:trPr>
          <w:trHeight w:val="225"/>
        </w:trPr>
        <w:tc>
          <w:tcPr>
            <w:tcW w:w="315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0CC5547"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Expenses Excluding Losses</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29F03FC3"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00CAF3CF"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FFFFFF"/>
              <w:left w:val="nil"/>
              <w:bottom w:val="single" w:sz="4" w:space="0" w:color="FFFFFF"/>
              <w:right w:val="single" w:sz="4" w:space="0" w:color="FFFFFF"/>
            </w:tcBorders>
            <w:shd w:val="clear" w:color="auto" w:fill="auto"/>
            <w:noWrap/>
            <w:vAlign w:val="bottom"/>
            <w:hideMark/>
          </w:tcPr>
          <w:p w14:paraId="04F8091F"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3EEE1259"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3E0A2E6D"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Operating Expenses -</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27A3E9B6"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c>
          <w:tcPr>
            <w:tcW w:w="619" w:type="pct"/>
            <w:gridSpan w:val="2"/>
            <w:tcBorders>
              <w:top w:val="nil"/>
              <w:left w:val="nil"/>
              <w:bottom w:val="single" w:sz="4" w:space="0" w:color="FFFFFF"/>
              <w:right w:val="single" w:sz="4" w:space="0" w:color="FFFFFF"/>
            </w:tcBorders>
            <w:shd w:val="clear" w:color="auto" w:fill="auto"/>
            <w:noWrap/>
            <w:vAlign w:val="bottom"/>
            <w:hideMark/>
          </w:tcPr>
          <w:p w14:paraId="5649A3FD"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6224F594" w14:textId="77777777" w:rsidR="007940B2" w:rsidRPr="0011239F" w:rsidRDefault="007940B2" w:rsidP="007940B2">
            <w:pPr>
              <w:jc w:val="right"/>
              <w:rPr>
                <w:rFonts w:ascii="Arial" w:hAnsi="Arial" w:cs="Arial"/>
                <w:color w:val="000000"/>
                <w:lang w:eastAsia="en-AU"/>
              </w:rPr>
            </w:pPr>
            <w:r w:rsidRPr="0011239F">
              <w:rPr>
                <w:rFonts w:ascii="Arial" w:hAnsi="Arial" w:cs="Arial"/>
                <w:color w:val="000000"/>
                <w:lang w:eastAsia="en-AU"/>
              </w:rPr>
              <w:t> </w:t>
            </w:r>
          </w:p>
        </w:tc>
      </w:tr>
      <w:tr w:rsidR="007940B2" w:rsidRPr="0011239F" w14:paraId="66597A14"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4E42A32B"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Employee Related</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D7A835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1,155,609</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00E38F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1,215,356</w:t>
            </w:r>
          </w:p>
        </w:tc>
        <w:tc>
          <w:tcPr>
            <w:tcW w:w="613" w:type="pct"/>
            <w:tcBorders>
              <w:top w:val="nil"/>
              <w:left w:val="nil"/>
              <w:bottom w:val="single" w:sz="4" w:space="0" w:color="FFFFFF"/>
              <w:right w:val="single" w:sz="4" w:space="0" w:color="FFFFFF"/>
            </w:tcBorders>
            <w:shd w:val="clear" w:color="auto" w:fill="auto"/>
            <w:noWrap/>
            <w:vAlign w:val="center"/>
            <w:hideMark/>
          </w:tcPr>
          <w:p w14:paraId="0CAD105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1,268,716</w:t>
            </w:r>
          </w:p>
        </w:tc>
      </w:tr>
      <w:tr w:rsidR="007940B2" w:rsidRPr="0011239F" w14:paraId="65B4A684"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1AD373F"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Personnel Services Expenses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3D2D278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0852565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9C7EBF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3C4CDE1"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5E6507D8"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Operating Expenses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4EAC6E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465,736</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DDD792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423,927</w:t>
            </w:r>
          </w:p>
        </w:tc>
        <w:tc>
          <w:tcPr>
            <w:tcW w:w="613" w:type="pct"/>
            <w:tcBorders>
              <w:top w:val="nil"/>
              <w:left w:val="nil"/>
              <w:bottom w:val="single" w:sz="4" w:space="0" w:color="FFFFFF"/>
              <w:right w:val="single" w:sz="4" w:space="0" w:color="FFFFFF"/>
            </w:tcBorders>
            <w:shd w:val="clear" w:color="auto" w:fill="auto"/>
            <w:noWrap/>
            <w:vAlign w:val="center"/>
            <w:hideMark/>
          </w:tcPr>
          <w:p w14:paraId="547E13A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424,122</w:t>
            </w:r>
          </w:p>
        </w:tc>
      </w:tr>
      <w:tr w:rsidR="007940B2" w:rsidRPr="0011239F" w14:paraId="035C5768"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301AECE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Grants and Subsidies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3FF54A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620</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455F526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620</w:t>
            </w:r>
          </w:p>
        </w:tc>
        <w:tc>
          <w:tcPr>
            <w:tcW w:w="613" w:type="pct"/>
            <w:tcBorders>
              <w:top w:val="nil"/>
              <w:left w:val="nil"/>
              <w:bottom w:val="single" w:sz="4" w:space="0" w:color="FFFFFF"/>
              <w:right w:val="single" w:sz="4" w:space="0" w:color="FFFFFF"/>
            </w:tcBorders>
            <w:shd w:val="clear" w:color="auto" w:fill="auto"/>
            <w:noWrap/>
            <w:vAlign w:val="center"/>
            <w:hideMark/>
          </w:tcPr>
          <w:p w14:paraId="74E8003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F96EA0D"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891F12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Appropriation Expense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1DCF36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472A3E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D0623C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A15E5B2"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B9DB21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Depreciation and Amortisation</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BC5ED2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146,536</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2326DDA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154,826</w:t>
            </w:r>
          </w:p>
        </w:tc>
        <w:tc>
          <w:tcPr>
            <w:tcW w:w="613" w:type="pct"/>
            <w:tcBorders>
              <w:top w:val="nil"/>
              <w:left w:val="nil"/>
              <w:bottom w:val="single" w:sz="4" w:space="0" w:color="FFFFFF"/>
              <w:right w:val="single" w:sz="4" w:space="0" w:color="FFFFFF"/>
            </w:tcBorders>
            <w:shd w:val="clear" w:color="auto" w:fill="auto"/>
            <w:noWrap/>
            <w:vAlign w:val="center"/>
            <w:hideMark/>
          </w:tcPr>
          <w:p w14:paraId="2511772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157,482</w:t>
            </w:r>
          </w:p>
        </w:tc>
      </w:tr>
      <w:tr w:rsidR="007940B2" w:rsidRPr="0011239F" w14:paraId="6FF24655"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2519AA2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Finance Costs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4A1F88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34C93D9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74DD50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E185A0A" w14:textId="77777777" w:rsidTr="003C6E9F">
        <w:trPr>
          <w:trHeight w:val="225"/>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3C810E1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Expenses</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3E06285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0D46CDA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auto"/>
              <w:right w:val="single" w:sz="4" w:space="0" w:color="FFFFFF"/>
            </w:tcBorders>
            <w:shd w:val="clear" w:color="auto" w:fill="auto"/>
            <w:noWrap/>
            <w:vAlign w:val="center"/>
            <w:hideMark/>
          </w:tcPr>
          <w:p w14:paraId="704D3C8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0C25B9F3"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67431EA7"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EXPENSES EXCLUDING LOSSES</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14FBD186"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1,768,501</w:t>
            </w:r>
          </w:p>
        </w:tc>
        <w:tc>
          <w:tcPr>
            <w:tcW w:w="619"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1BA1C7E4"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1,794,729</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287E30E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1,850,320</w:t>
            </w:r>
          </w:p>
        </w:tc>
      </w:tr>
      <w:tr w:rsidR="007940B2" w:rsidRPr="0011239F" w14:paraId="4E6A4076"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E5B5813"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Revenue</w:t>
            </w:r>
          </w:p>
        </w:tc>
        <w:tc>
          <w:tcPr>
            <w:tcW w:w="616"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314E9E9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302761A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auto"/>
              <w:left w:val="nil"/>
              <w:bottom w:val="single" w:sz="4" w:space="0" w:color="FFFFFF"/>
              <w:right w:val="single" w:sz="4" w:space="0" w:color="FFFFFF"/>
            </w:tcBorders>
            <w:shd w:val="clear" w:color="auto" w:fill="auto"/>
            <w:noWrap/>
            <w:vAlign w:val="center"/>
            <w:hideMark/>
          </w:tcPr>
          <w:p w14:paraId="71D9DFC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511AB968"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5D37DC3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Appropriation Revenue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306F7C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D5D4F8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FC203D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7EA5008"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947A453"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Cluster Grant Revenue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C77B9F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60,000</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3825892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60,000</w:t>
            </w:r>
          </w:p>
        </w:tc>
        <w:tc>
          <w:tcPr>
            <w:tcW w:w="613" w:type="pct"/>
            <w:tcBorders>
              <w:top w:val="nil"/>
              <w:left w:val="nil"/>
              <w:bottom w:val="single" w:sz="4" w:space="0" w:color="FFFFFF"/>
              <w:right w:val="single" w:sz="4" w:space="0" w:color="FFFFFF"/>
            </w:tcBorders>
            <w:shd w:val="clear" w:color="auto" w:fill="auto"/>
            <w:noWrap/>
            <w:vAlign w:val="center"/>
            <w:hideMark/>
          </w:tcPr>
          <w:p w14:paraId="130B69E6" w14:textId="71482AD0" w:rsidR="007940B2" w:rsidRPr="0011239F" w:rsidRDefault="00A71949"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17DEC6A"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vAlign w:val="center"/>
            <w:hideMark/>
          </w:tcPr>
          <w:p w14:paraId="330D149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Acceptance by Crown Entity of Employee Benefits and Other Liabilities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7DB4B2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50,398</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52DF0BC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49,540</w:t>
            </w:r>
          </w:p>
        </w:tc>
        <w:tc>
          <w:tcPr>
            <w:tcW w:w="613" w:type="pct"/>
            <w:tcBorders>
              <w:top w:val="nil"/>
              <w:left w:val="nil"/>
              <w:bottom w:val="single" w:sz="4" w:space="0" w:color="FFFFFF"/>
              <w:right w:val="single" w:sz="4" w:space="0" w:color="FFFFFF"/>
            </w:tcBorders>
            <w:shd w:val="clear" w:color="auto" w:fill="auto"/>
            <w:noWrap/>
            <w:vAlign w:val="center"/>
            <w:hideMark/>
          </w:tcPr>
          <w:p w14:paraId="51D2DD3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47,352</w:t>
            </w:r>
          </w:p>
        </w:tc>
      </w:tr>
      <w:tr w:rsidR="007940B2" w:rsidRPr="0011239F" w14:paraId="7275B61D"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6E3590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Transfers to the Crown Entity</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ADB361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6B5D97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964289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D541168"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28D87C8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Sales of Goods and Services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42D586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570,617</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2AA429D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373,207</w:t>
            </w:r>
          </w:p>
        </w:tc>
        <w:tc>
          <w:tcPr>
            <w:tcW w:w="613" w:type="pct"/>
            <w:tcBorders>
              <w:top w:val="nil"/>
              <w:left w:val="nil"/>
              <w:bottom w:val="single" w:sz="4" w:space="0" w:color="FFFFFF"/>
              <w:right w:val="single" w:sz="4" w:space="0" w:color="FFFFFF"/>
            </w:tcBorders>
            <w:shd w:val="clear" w:color="auto" w:fill="auto"/>
            <w:noWrap/>
            <w:vAlign w:val="center"/>
            <w:hideMark/>
          </w:tcPr>
          <w:p w14:paraId="76E654E7" w14:textId="466A178C" w:rsidR="007940B2" w:rsidRPr="0011239F" w:rsidRDefault="00F63A1F"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342,998</w:t>
            </w:r>
          </w:p>
        </w:tc>
      </w:tr>
      <w:tr w:rsidR="007940B2" w:rsidRPr="0011239F" w14:paraId="2F9857C6"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D2CCDC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Grants and Contributions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ADEFCA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1,016,357</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379020D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1,080,073</w:t>
            </w:r>
          </w:p>
        </w:tc>
        <w:tc>
          <w:tcPr>
            <w:tcW w:w="613" w:type="pct"/>
            <w:tcBorders>
              <w:top w:val="nil"/>
              <w:left w:val="nil"/>
              <w:bottom w:val="single" w:sz="4" w:space="0" w:color="FFFFFF"/>
              <w:right w:val="single" w:sz="4" w:space="0" w:color="FFFFFF"/>
            </w:tcBorders>
            <w:shd w:val="clear" w:color="auto" w:fill="auto"/>
            <w:noWrap/>
            <w:vAlign w:val="center"/>
            <w:hideMark/>
          </w:tcPr>
          <w:p w14:paraId="2F49719D" w14:textId="401FA3FC" w:rsidR="007940B2" w:rsidRPr="0011239F" w:rsidRDefault="00AD362E"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1,474,2</w:t>
            </w:r>
            <w:r w:rsidR="00F63A1F" w:rsidRPr="0011239F">
              <w:rPr>
                <w:rFonts w:ascii="Arial" w:hAnsi="Arial" w:cs="Arial"/>
                <w:color w:val="000000"/>
                <w:sz w:val="18"/>
                <w:szCs w:val="18"/>
                <w:lang w:eastAsia="en-AU"/>
              </w:rPr>
              <w:t>99</w:t>
            </w:r>
          </w:p>
        </w:tc>
      </w:tr>
      <w:tr w:rsidR="007940B2" w:rsidRPr="0011239F" w14:paraId="0205304E"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26C023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Investment Revenue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49D2C0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4,638</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CADF52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2,554</w:t>
            </w:r>
          </w:p>
        </w:tc>
        <w:tc>
          <w:tcPr>
            <w:tcW w:w="613" w:type="pct"/>
            <w:tcBorders>
              <w:top w:val="nil"/>
              <w:left w:val="nil"/>
              <w:bottom w:val="single" w:sz="4" w:space="0" w:color="FFFFFF"/>
              <w:right w:val="single" w:sz="4" w:space="0" w:color="FFFFFF"/>
            </w:tcBorders>
            <w:shd w:val="clear" w:color="auto" w:fill="auto"/>
            <w:noWrap/>
            <w:vAlign w:val="center"/>
            <w:hideMark/>
          </w:tcPr>
          <w:p w14:paraId="58A30BB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2,851</w:t>
            </w:r>
          </w:p>
        </w:tc>
      </w:tr>
      <w:tr w:rsidR="007940B2" w:rsidRPr="0011239F" w14:paraId="789672C7"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C1AE0C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Retained Taxes, Fees and Fines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E2DEDD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530B114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AA28A0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0D96F48" w14:textId="77777777" w:rsidTr="003C6E9F">
        <w:trPr>
          <w:trHeight w:val="225"/>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3EBE31A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Revenue</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2182D8B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6,069</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33C0952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6,431</w:t>
            </w:r>
          </w:p>
        </w:tc>
        <w:tc>
          <w:tcPr>
            <w:tcW w:w="613" w:type="pct"/>
            <w:tcBorders>
              <w:top w:val="nil"/>
              <w:left w:val="nil"/>
              <w:bottom w:val="single" w:sz="4" w:space="0" w:color="auto"/>
              <w:right w:val="single" w:sz="4" w:space="0" w:color="FFFFFF"/>
            </w:tcBorders>
            <w:shd w:val="clear" w:color="auto" w:fill="auto"/>
            <w:noWrap/>
            <w:vAlign w:val="center"/>
            <w:hideMark/>
          </w:tcPr>
          <w:p w14:paraId="7E28087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5,916</w:t>
            </w:r>
          </w:p>
        </w:tc>
      </w:tr>
      <w:tr w:rsidR="007940B2" w:rsidRPr="0011239F" w14:paraId="65DD4159"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108F03E3"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Revenue</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5994D01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1,708,081</w:t>
            </w:r>
          </w:p>
        </w:tc>
        <w:tc>
          <w:tcPr>
            <w:tcW w:w="619"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3CFEE349"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1,571,805</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19622976"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1,873,417</w:t>
            </w:r>
          </w:p>
        </w:tc>
      </w:tr>
      <w:tr w:rsidR="007940B2" w:rsidRPr="0011239F" w14:paraId="4FBD22D9"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420D6F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Gain/(loss) on Disposal of </w:t>
            </w:r>
            <w:proofErr w:type="spellStart"/>
            <w:proofErr w:type="gramStart"/>
            <w:r w:rsidRPr="0011239F">
              <w:rPr>
                <w:rFonts w:ascii="Arial" w:hAnsi="Arial" w:cs="Arial"/>
                <w:color w:val="000000"/>
                <w:sz w:val="18"/>
                <w:szCs w:val="18"/>
                <w:lang w:eastAsia="en-AU"/>
              </w:rPr>
              <w:t>Non Current</w:t>
            </w:r>
            <w:proofErr w:type="spellEnd"/>
            <w:proofErr w:type="gramEnd"/>
            <w:r w:rsidRPr="0011239F">
              <w:rPr>
                <w:rFonts w:ascii="Arial" w:hAnsi="Arial" w:cs="Arial"/>
                <w:color w:val="000000"/>
                <w:sz w:val="18"/>
                <w:szCs w:val="18"/>
                <w:lang w:eastAsia="en-AU"/>
              </w:rPr>
              <w:t xml:space="preserve"> Assets</w:t>
            </w:r>
          </w:p>
        </w:tc>
        <w:tc>
          <w:tcPr>
            <w:tcW w:w="616"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2AE471B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18EB502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19,367</w:t>
            </w:r>
          </w:p>
        </w:tc>
        <w:tc>
          <w:tcPr>
            <w:tcW w:w="613" w:type="pct"/>
            <w:tcBorders>
              <w:top w:val="single" w:sz="4" w:space="0" w:color="auto"/>
              <w:left w:val="nil"/>
              <w:bottom w:val="single" w:sz="4" w:space="0" w:color="FFFFFF"/>
              <w:right w:val="single" w:sz="4" w:space="0" w:color="FFFFFF"/>
            </w:tcBorders>
            <w:shd w:val="clear" w:color="auto" w:fill="auto"/>
            <w:noWrap/>
            <w:vAlign w:val="center"/>
            <w:hideMark/>
          </w:tcPr>
          <w:p w14:paraId="166F87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E61F25C" w14:textId="77777777" w:rsidTr="003C6E9F">
        <w:trPr>
          <w:trHeight w:val="225"/>
        </w:trPr>
        <w:tc>
          <w:tcPr>
            <w:tcW w:w="3152" w:type="pct"/>
            <w:tcBorders>
              <w:top w:val="nil"/>
              <w:left w:val="single" w:sz="4" w:space="0" w:color="FFFFFF"/>
              <w:bottom w:val="nil"/>
              <w:right w:val="single" w:sz="4" w:space="0" w:color="FFFFFF"/>
            </w:tcBorders>
            <w:shd w:val="clear" w:color="auto" w:fill="auto"/>
            <w:noWrap/>
            <w:vAlign w:val="center"/>
            <w:hideMark/>
          </w:tcPr>
          <w:p w14:paraId="25EEC3B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Gains/(Losses)</w:t>
            </w:r>
          </w:p>
        </w:tc>
        <w:tc>
          <w:tcPr>
            <w:tcW w:w="616" w:type="pct"/>
            <w:gridSpan w:val="2"/>
            <w:tcBorders>
              <w:top w:val="nil"/>
              <w:left w:val="nil"/>
              <w:bottom w:val="nil"/>
              <w:right w:val="single" w:sz="4" w:space="0" w:color="FFFFFF"/>
            </w:tcBorders>
            <w:shd w:val="clear" w:color="auto" w:fill="auto"/>
            <w:noWrap/>
            <w:vAlign w:val="center"/>
            <w:hideMark/>
          </w:tcPr>
          <w:p w14:paraId="53D5FD2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nil"/>
              <w:right w:val="single" w:sz="4" w:space="0" w:color="FFFFFF"/>
            </w:tcBorders>
            <w:shd w:val="clear" w:color="auto" w:fill="auto"/>
            <w:noWrap/>
            <w:vAlign w:val="center"/>
            <w:hideMark/>
          </w:tcPr>
          <w:p w14:paraId="535D55D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(24,876)</w:t>
            </w:r>
          </w:p>
        </w:tc>
        <w:tc>
          <w:tcPr>
            <w:tcW w:w="613" w:type="pct"/>
            <w:tcBorders>
              <w:top w:val="nil"/>
              <w:left w:val="nil"/>
              <w:bottom w:val="nil"/>
              <w:right w:val="single" w:sz="4" w:space="0" w:color="FFFFFF"/>
            </w:tcBorders>
            <w:shd w:val="clear" w:color="auto" w:fill="auto"/>
            <w:noWrap/>
            <w:vAlign w:val="center"/>
            <w:hideMark/>
          </w:tcPr>
          <w:p w14:paraId="3EB344C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83B5AC0" w14:textId="77777777" w:rsidTr="00A11350">
        <w:trPr>
          <w:trHeight w:val="340"/>
        </w:trPr>
        <w:tc>
          <w:tcPr>
            <w:tcW w:w="315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E9BA77D"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Net Result</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047527D4"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(60,420)</w:t>
            </w:r>
          </w:p>
        </w:tc>
        <w:tc>
          <w:tcPr>
            <w:tcW w:w="619"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D859316"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(228,433)</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286866C5"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23,096</w:t>
            </w:r>
          </w:p>
        </w:tc>
      </w:tr>
    </w:tbl>
    <w:p w14:paraId="281540A8" w14:textId="77777777" w:rsidR="007940B2" w:rsidRPr="0011239F" w:rsidRDefault="007940B2" w:rsidP="00653655">
      <w:pPr>
        <w:pStyle w:val="ListParagraph"/>
        <w:spacing w:before="360"/>
        <w:ind w:left="405"/>
        <w:rPr>
          <w:rFonts w:cs="Arial"/>
        </w:rPr>
      </w:pPr>
    </w:p>
    <w:p w14:paraId="525E3CC1" w14:textId="77777777" w:rsidR="007940B2" w:rsidRPr="0011239F" w:rsidRDefault="007940B2" w:rsidP="007940B2">
      <w:pPr>
        <w:pStyle w:val="ListParagraph"/>
        <w:numPr>
          <w:ilvl w:val="0"/>
          <w:numId w:val="12"/>
        </w:numPr>
        <w:rPr>
          <w:rFonts w:cs="Arial"/>
        </w:rPr>
      </w:pPr>
      <w:r w:rsidRPr="0011239F">
        <w:rPr>
          <w:rFonts w:cs="Arial"/>
        </w:rPr>
        <w:br w:type="page"/>
      </w:r>
    </w:p>
    <w:p w14:paraId="044D9C26" w14:textId="77777777" w:rsidR="007940B2" w:rsidRPr="0011239F" w:rsidRDefault="007940B2" w:rsidP="00DB3AC8">
      <w:pPr>
        <w:pStyle w:val="Heading4"/>
        <w:spacing w:before="0"/>
        <w:rPr>
          <w:rFonts w:cs="Arial"/>
          <w:lang w:eastAsia="en-AU"/>
        </w:rPr>
      </w:pPr>
      <w:r w:rsidRPr="0011239F">
        <w:rPr>
          <w:rFonts w:cs="Arial"/>
          <w:lang w:eastAsia="en-AU"/>
        </w:rPr>
        <w:lastRenderedPageBreak/>
        <w:t>Balance Sheet</w:t>
      </w:r>
    </w:p>
    <w:tbl>
      <w:tblPr>
        <w:tblW w:w="5012" w:type="pct"/>
        <w:tblLook w:val="04A0" w:firstRow="1" w:lastRow="0" w:firstColumn="1" w:lastColumn="0" w:noHBand="0" w:noVBand="1"/>
        <w:tblCaption w:val="TAFE Commission"/>
        <w:tblDescription w:val="TAFE Commission - Balance Sheet"/>
      </w:tblPr>
      <w:tblGrid>
        <w:gridCol w:w="6090"/>
        <w:gridCol w:w="8"/>
        <w:gridCol w:w="1183"/>
        <w:gridCol w:w="6"/>
        <w:gridCol w:w="1190"/>
        <w:gridCol w:w="1185"/>
      </w:tblGrid>
      <w:tr w:rsidR="003C6E9F" w:rsidRPr="0011239F" w14:paraId="5E782CEC" w14:textId="77777777" w:rsidTr="003C6E9F">
        <w:trPr>
          <w:trHeight w:val="283"/>
        </w:trPr>
        <w:tc>
          <w:tcPr>
            <w:tcW w:w="3156" w:type="pct"/>
            <w:gridSpan w:val="2"/>
            <w:shd w:val="clear" w:color="auto" w:fill="00ABE6"/>
            <w:vAlign w:val="center"/>
            <w:hideMark/>
          </w:tcPr>
          <w:p w14:paraId="039D6DCC"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31" w:type="pct"/>
            <w:gridSpan w:val="3"/>
            <w:shd w:val="clear" w:color="auto" w:fill="00ABE6"/>
            <w:vAlign w:val="bottom"/>
            <w:hideMark/>
          </w:tcPr>
          <w:p w14:paraId="4989D78B"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3" w:type="pct"/>
            <w:shd w:val="clear" w:color="auto" w:fill="00ABE6"/>
            <w:vAlign w:val="bottom"/>
            <w:hideMark/>
          </w:tcPr>
          <w:p w14:paraId="481EBE52"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2F2E3B04" w14:textId="77777777" w:rsidTr="003C6E9F">
        <w:trPr>
          <w:trHeight w:val="255"/>
        </w:trPr>
        <w:tc>
          <w:tcPr>
            <w:tcW w:w="3156" w:type="pct"/>
            <w:gridSpan w:val="2"/>
            <w:shd w:val="clear" w:color="auto" w:fill="00ABE6"/>
            <w:vAlign w:val="center"/>
            <w:hideMark/>
          </w:tcPr>
          <w:p w14:paraId="43605178"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gridSpan w:val="2"/>
            <w:shd w:val="clear" w:color="auto" w:fill="00ABE6"/>
            <w:vAlign w:val="center"/>
            <w:hideMark/>
          </w:tcPr>
          <w:p w14:paraId="61224C79"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6" w:type="pct"/>
            <w:shd w:val="clear" w:color="auto" w:fill="00ABE6"/>
            <w:vAlign w:val="center"/>
            <w:hideMark/>
          </w:tcPr>
          <w:p w14:paraId="7BDC9CAA"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3" w:type="pct"/>
            <w:shd w:val="clear" w:color="auto" w:fill="00ABE6"/>
            <w:vAlign w:val="center"/>
            <w:hideMark/>
          </w:tcPr>
          <w:p w14:paraId="59731660"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7F41C00B" w14:textId="77777777" w:rsidTr="003C6E9F">
        <w:trPr>
          <w:trHeight w:val="238"/>
        </w:trPr>
        <w:tc>
          <w:tcPr>
            <w:tcW w:w="3156" w:type="pct"/>
            <w:gridSpan w:val="2"/>
            <w:shd w:val="clear" w:color="auto" w:fill="0A7CB9"/>
            <w:vAlign w:val="center"/>
            <w:hideMark/>
          </w:tcPr>
          <w:p w14:paraId="1B9ACFA3"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gridSpan w:val="2"/>
            <w:shd w:val="clear" w:color="auto" w:fill="0A7CB9"/>
            <w:hideMark/>
          </w:tcPr>
          <w:p w14:paraId="1D1C691F"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6" w:type="pct"/>
            <w:shd w:val="clear" w:color="auto" w:fill="0A7CB9"/>
            <w:hideMark/>
          </w:tcPr>
          <w:p w14:paraId="65F999FC"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3" w:type="pct"/>
            <w:shd w:val="clear" w:color="auto" w:fill="0A7CB9"/>
            <w:hideMark/>
          </w:tcPr>
          <w:p w14:paraId="33953C94"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3F385314" w14:textId="77777777" w:rsidTr="003C6E9F">
        <w:trPr>
          <w:trHeight w:val="225"/>
        </w:trPr>
        <w:tc>
          <w:tcPr>
            <w:tcW w:w="315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D3A600C"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Assets</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53838659"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77C5E3F0"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FFFFFF"/>
              <w:left w:val="nil"/>
              <w:bottom w:val="single" w:sz="4" w:space="0" w:color="FFFFFF"/>
              <w:right w:val="single" w:sz="4" w:space="0" w:color="FFFFFF"/>
            </w:tcBorders>
            <w:shd w:val="clear" w:color="auto" w:fill="auto"/>
            <w:noWrap/>
            <w:vAlign w:val="bottom"/>
            <w:hideMark/>
          </w:tcPr>
          <w:p w14:paraId="7DC665B2"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E08CC19"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6ED7F204" w14:textId="77777777" w:rsidR="007940B2" w:rsidRPr="0011239F" w:rsidRDefault="007940B2" w:rsidP="007940B2">
            <w:pPr>
              <w:rPr>
                <w:rFonts w:ascii="Arial" w:hAnsi="Arial" w:cs="Arial"/>
                <w:b/>
                <w:bCs/>
                <w:sz w:val="18"/>
                <w:szCs w:val="18"/>
                <w:lang w:eastAsia="en-AU"/>
              </w:rPr>
            </w:pPr>
            <w:r w:rsidRPr="0011239F">
              <w:rPr>
                <w:rFonts w:ascii="Arial" w:hAnsi="Arial" w:cs="Arial"/>
                <w:b/>
                <w:bCs/>
                <w:sz w:val="18"/>
                <w:szCs w:val="18"/>
                <w:lang w:eastAsia="en-AU"/>
              </w:rPr>
              <w:t>Current Assets</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6D6C75CB"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c>
          <w:tcPr>
            <w:tcW w:w="619" w:type="pct"/>
            <w:gridSpan w:val="2"/>
            <w:tcBorders>
              <w:top w:val="nil"/>
              <w:left w:val="nil"/>
              <w:bottom w:val="single" w:sz="4" w:space="0" w:color="FFFFFF"/>
              <w:right w:val="single" w:sz="4" w:space="0" w:color="FFFFFF"/>
            </w:tcBorders>
            <w:shd w:val="clear" w:color="auto" w:fill="auto"/>
            <w:noWrap/>
            <w:vAlign w:val="bottom"/>
            <w:hideMark/>
          </w:tcPr>
          <w:p w14:paraId="74EFCDC6"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2EB62DD3" w14:textId="77777777" w:rsidR="007940B2" w:rsidRPr="0011239F" w:rsidRDefault="007940B2" w:rsidP="007940B2">
            <w:pPr>
              <w:rPr>
                <w:rFonts w:ascii="Arial" w:hAnsi="Arial" w:cs="Arial"/>
                <w:color w:val="000000"/>
                <w:lang w:eastAsia="en-AU"/>
              </w:rPr>
            </w:pPr>
            <w:r w:rsidRPr="0011239F">
              <w:rPr>
                <w:rFonts w:ascii="Arial" w:hAnsi="Arial" w:cs="Arial"/>
                <w:color w:val="000000"/>
                <w:lang w:eastAsia="en-AU"/>
              </w:rPr>
              <w:t> </w:t>
            </w:r>
          </w:p>
        </w:tc>
      </w:tr>
      <w:tr w:rsidR="007940B2" w:rsidRPr="0011239F" w14:paraId="2A3F9D77"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528AA9C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Cash Assets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C9F46A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222,837</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567347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198,422</w:t>
            </w:r>
          </w:p>
        </w:tc>
        <w:tc>
          <w:tcPr>
            <w:tcW w:w="613" w:type="pct"/>
            <w:tcBorders>
              <w:top w:val="nil"/>
              <w:left w:val="nil"/>
              <w:bottom w:val="single" w:sz="4" w:space="0" w:color="FFFFFF"/>
              <w:right w:val="single" w:sz="4" w:space="0" w:color="FFFFFF"/>
            </w:tcBorders>
            <w:shd w:val="clear" w:color="auto" w:fill="auto"/>
            <w:noWrap/>
            <w:vAlign w:val="center"/>
            <w:hideMark/>
          </w:tcPr>
          <w:p w14:paraId="1354760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197,003</w:t>
            </w:r>
          </w:p>
        </w:tc>
      </w:tr>
      <w:tr w:rsidR="007940B2" w:rsidRPr="0011239F" w14:paraId="43E10BFC"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6588B24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Receivable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82D062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0252836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288C45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136AB38"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2B958CE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Receivables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34A4E6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263,471</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4AECE3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184,165</w:t>
            </w:r>
          </w:p>
        </w:tc>
        <w:tc>
          <w:tcPr>
            <w:tcW w:w="613" w:type="pct"/>
            <w:tcBorders>
              <w:top w:val="nil"/>
              <w:left w:val="nil"/>
              <w:bottom w:val="single" w:sz="4" w:space="0" w:color="FFFFFF"/>
              <w:right w:val="single" w:sz="4" w:space="0" w:color="FFFFFF"/>
            </w:tcBorders>
            <w:shd w:val="clear" w:color="auto" w:fill="auto"/>
            <w:noWrap/>
            <w:vAlign w:val="center"/>
            <w:hideMark/>
          </w:tcPr>
          <w:p w14:paraId="712AC78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225,398</w:t>
            </w:r>
          </w:p>
        </w:tc>
      </w:tr>
      <w:tr w:rsidR="007940B2" w:rsidRPr="0011239F" w14:paraId="28D43CE2"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95336F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Inventories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870A7B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64DE758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454FFE1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4D0CC0E"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130733B"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Financial Assets at Fair Value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AC1830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CCDD48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134</w:t>
            </w:r>
          </w:p>
        </w:tc>
        <w:tc>
          <w:tcPr>
            <w:tcW w:w="613" w:type="pct"/>
            <w:tcBorders>
              <w:top w:val="nil"/>
              <w:left w:val="nil"/>
              <w:bottom w:val="single" w:sz="4" w:space="0" w:color="FFFFFF"/>
              <w:right w:val="single" w:sz="4" w:space="0" w:color="FFFFFF"/>
            </w:tcBorders>
            <w:shd w:val="clear" w:color="auto" w:fill="auto"/>
            <w:noWrap/>
            <w:vAlign w:val="center"/>
            <w:hideMark/>
          </w:tcPr>
          <w:p w14:paraId="1F6019F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134</w:t>
            </w:r>
          </w:p>
        </w:tc>
      </w:tr>
      <w:tr w:rsidR="007940B2" w:rsidRPr="0011239F" w14:paraId="18D96843"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9311F3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Assets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C862FB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2E1003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CD2AA3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C318970"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6781891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F75EEE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A5B1E2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4A0E9A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A67A8CC" w14:textId="77777777" w:rsidTr="003C6E9F">
        <w:trPr>
          <w:trHeight w:val="225"/>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33723D4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Assets Held </w:t>
            </w:r>
            <w:proofErr w:type="gramStart"/>
            <w:r w:rsidRPr="0011239F">
              <w:rPr>
                <w:rFonts w:ascii="Arial" w:hAnsi="Arial" w:cs="Arial"/>
                <w:color w:val="000000"/>
                <w:sz w:val="18"/>
                <w:szCs w:val="18"/>
                <w:lang w:eastAsia="en-AU"/>
              </w:rPr>
              <w:t>For</w:t>
            </w:r>
            <w:proofErr w:type="gramEnd"/>
            <w:r w:rsidRPr="0011239F">
              <w:rPr>
                <w:rFonts w:ascii="Arial" w:hAnsi="Arial" w:cs="Arial"/>
                <w:color w:val="000000"/>
                <w:sz w:val="18"/>
                <w:szCs w:val="18"/>
                <w:lang w:eastAsia="en-AU"/>
              </w:rPr>
              <w:t xml:space="preserve"> Sale</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40A540A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1EAE368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32,773</w:t>
            </w:r>
          </w:p>
        </w:tc>
        <w:tc>
          <w:tcPr>
            <w:tcW w:w="613" w:type="pct"/>
            <w:tcBorders>
              <w:top w:val="nil"/>
              <w:left w:val="nil"/>
              <w:bottom w:val="single" w:sz="4" w:space="0" w:color="auto"/>
              <w:right w:val="single" w:sz="4" w:space="0" w:color="FFFFFF"/>
            </w:tcBorders>
            <w:shd w:val="clear" w:color="auto" w:fill="auto"/>
            <w:noWrap/>
            <w:vAlign w:val="center"/>
            <w:hideMark/>
          </w:tcPr>
          <w:p w14:paraId="1C6F06E1" w14:textId="789F5842" w:rsidR="007940B2" w:rsidRPr="0011239F" w:rsidRDefault="008D67A4"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1418D76"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25C389C1"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Current Assets</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59887D5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486,308</w:t>
            </w:r>
          </w:p>
        </w:tc>
        <w:tc>
          <w:tcPr>
            <w:tcW w:w="619"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643C5BD9"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415,495</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7A9C8259"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422,535</w:t>
            </w:r>
          </w:p>
        </w:tc>
      </w:tr>
      <w:tr w:rsidR="007940B2" w:rsidRPr="0011239F" w14:paraId="08353749"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2ADCCEE5" w14:textId="77777777" w:rsidR="007940B2" w:rsidRPr="0011239F" w:rsidRDefault="007940B2" w:rsidP="003C6E9F">
            <w:pPr>
              <w:rPr>
                <w:rFonts w:ascii="Arial" w:hAnsi="Arial" w:cs="Arial"/>
                <w:b/>
                <w:bCs/>
                <w:sz w:val="18"/>
                <w:szCs w:val="18"/>
                <w:lang w:eastAsia="en-AU"/>
              </w:rPr>
            </w:pPr>
            <w:proofErr w:type="spellStart"/>
            <w:proofErr w:type="gramStart"/>
            <w:r w:rsidRPr="0011239F">
              <w:rPr>
                <w:rFonts w:ascii="Arial" w:hAnsi="Arial" w:cs="Arial"/>
                <w:b/>
                <w:bCs/>
                <w:sz w:val="18"/>
                <w:szCs w:val="18"/>
                <w:lang w:eastAsia="en-AU"/>
              </w:rPr>
              <w:t>Non Current</w:t>
            </w:r>
            <w:proofErr w:type="spellEnd"/>
            <w:proofErr w:type="gramEnd"/>
            <w:r w:rsidRPr="0011239F">
              <w:rPr>
                <w:rFonts w:ascii="Arial" w:hAnsi="Arial" w:cs="Arial"/>
                <w:b/>
                <w:bCs/>
                <w:sz w:val="18"/>
                <w:szCs w:val="18"/>
                <w:lang w:eastAsia="en-AU"/>
              </w:rPr>
              <w:t xml:space="preserve"> Assets</w:t>
            </w:r>
          </w:p>
        </w:tc>
        <w:tc>
          <w:tcPr>
            <w:tcW w:w="616"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73F9F7A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579F11B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auto"/>
              <w:left w:val="nil"/>
              <w:bottom w:val="single" w:sz="4" w:space="0" w:color="FFFFFF"/>
              <w:right w:val="single" w:sz="4" w:space="0" w:color="FFFFFF"/>
            </w:tcBorders>
            <w:shd w:val="clear" w:color="auto" w:fill="auto"/>
            <w:noWrap/>
            <w:vAlign w:val="center"/>
            <w:hideMark/>
          </w:tcPr>
          <w:p w14:paraId="0C788FE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53189D1"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C969EFE"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Receivable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395E6E4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6BAA63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1884E5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AD5F615"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2880CB4D"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Receivables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7004218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2,311</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6987796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4,765</w:t>
            </w:r>
          </w:p>
        </w:tc>
        <w:tc>
          <w:tcPr>
            <w:tcW w:w="613" w:type="pct"/>
            <w:tcBorders>
              <w:top w:val="nil"/>
              <w:left w:val="nil"/>
              <w:bottom w:val="single" w:sz="4" w:space="0" w:color="FFFFFF"/>
              <w:right w:val="single" w:sz="4" w:space="0" w:color="FFFFFF"/>
            </w:tcBorders>
            <w:shd w:val="clear" w:color="auto" w:fill="auto"/>
            <w:noWrap/>
            <w:vAlign w:val="center"/>
            <w:hideMark/>
          </w:tcPr>
          <w:p w14:paraId="0D4A6A2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4,765</w:t>
            </w:r>
          </w:p>
        </w:tc>
      </w:tr>
      <w:tr w:rsidR="007940B2" w:rsidRPr="0011239F" w14:paraId="76D060EB"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D4E8720"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Inventories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8A2CE6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28D6634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43AA497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FD5E351"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332314A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Financial Assets at Fair Value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3DC191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557</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0DBC748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175</w:t>
            </w:r>
          </w:p>
        </w:tc>
        <w:tc>
          <w:tcPr>
            <w:tcW w:w="613" w:type="pct"/>
            <w:tcBorders>
              <w:top w:val="nil"/>
              <w:left w:val="nil"/>
              <w:bottom w:val="single" w:sz="4" w:space="0" w:color="FFFFFF"/>
              <w:right w:val="single" w:sz="4" w:space="0" w:color="FFFFFF"/>
            </w:tcBorders>
            <w:shd w:val="clear" w:color="auto" w:fill="auto"/>
            <w:noWrap/>
            <w:vAlign w:val="center"/>
            <w:hideMark/>
          </w:tcPr>
          <w:p w14:paraId="11D0519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175</w:t>
            </w:r>
          </w:p>
        </w:tc>
      </w:tr>
      <w:tr w:rsidR="007940B2" w:rsidRPr="0011239F" w14:paraId="75A1491D"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4B7E8ABE"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Equity Investments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09D7FA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4537015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A3B07A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70E4E81"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477EC742"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Property, Plant and Equipment -</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5AF143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08A6F7F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0882A55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67611922"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AE6786B"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Land and Building</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6A6544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3,729,212</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05FBCC23"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3,751,214</w:t>
            </w:r>
          </w:p>
        </w:tc>
        <w:tc>
          <w:tcPr>
            <w:tcW w:w="613" w:type="pct"/>
            <w:tcBorders>
              <w:top w:val="nil"/>
              <w:left w:val="nil"/>
              <w:bottom w:val="single" w:sz="4" w:space="0" w:color="FFFFFF"/>
              <w:right w:val="single" w:sz="4" w:space="0" w:color="FFFFFF"/>
            </w:tcBorders>
            <w:shd w:val="clear" w:color="auto" w:fill="auto"/>
            <w:noWrap/>
            <w:vAlign w:val="center"/>
            <w:hideMark/>
          </w:tcPr>
          <w:p w14:paraId="27D311D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3,713,430</w:t>
            </w:r>
          </w:p>
        </w:tc>
      </w:tr>
      <w:tr w:rsidR="007940B2" w:rsidRPr="0011239F" w14:paraId="0565029A"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30E22FE" w14:textId="77777777" w:rsidR="007940B2" w:rsidRPr="0011239F" w:rsidRDefault="007940B2" w:rsidP="003C6E9F">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Plant and Equipment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061247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30,194</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49C1D4C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16,220</w:t>
            </w:r>
          </w:p>
        </w:tc>
        <w:tc>
          <w:tcPr>
            <w:tcW w:w="613" w:type="pct"/>
            <w:tcBorders>
              <w:top w:val="nil"/>
              <w:left w:val="nil"/>
              <w:bottom w:val="single" w:sz="4" w:space="0" w:color="FFFFFF"/>
              <w:right w:val="single" w:sz="4" w:space="0" w:color="FFFFFF"/>
            </w:tcBorders>
            <w:shd w:val="clear" w:color="auto" w:fill="auto"/>
            <w:noWrap/>
            <w:vAlign w:val="center"/>
            <w:hideMark/>
          </w:tcPr>
          <w:p w14:paraId="2C0CE2C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14,380</w:t>
            </w:r>
          </w:p>
        </w:tc>
      </w:tr>
      <w:tr w:rsidR="007940B2" w:rsidRPr="0011239F" w14:paraId="64A14420"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F218FA9" w14:textId="77777777" w:rsidR="007940B2" w:rsidRPr="0011239F" w:rsidRDefault="007940B2" w:rsidP="006D21C9">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Infrastructure Systems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591055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7867D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D98A93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1,132</w:t>
            </w:r>
          </w:p>
        </w:tc>
      </w:tr>
      <w:tr w:rsidR="007940B2" w:rsidRPr="0011239F" w14:paraId="5785C5EB"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9BF7E0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Investment Properties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252BCC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B2180F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F5CD5D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FA74B27"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4206B69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Intangibles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697A01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90,785</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51E6498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75,478</w:t>
            </w:r>
          </w:p>
        </w:tc>
        <w:tc>
          <w:tcPr>
            <w:tcW w:w="613" w:type="pct"/>
            <w:tcBorders>
              <w:top w:val="nil"/>
              <w:left w:val="nil"/>
              <w:bottom w:val="single" w:sz="4" w:space="0" w:color="FFFFFF"/>
              <w:right w:val="single" w:sz="4" w:space="0" w:color="FFFFFF"/>
            </w:tcBorders>
            <w:shd w:val="clear" w:color="auto" w:fill="auto"/>
            <w:noWrap/>
            <w:vAlign w:val="center"/>
            <w:hideMark/>
          </w:tcPr>
          <w:p w14:paraId="0A9FCDD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110,027</w:t>
            </w:r>
          </w:p>
        </w:tc>
      </w:tr>
      <w:tr w:rsidR="007940B2" w:rsidRPr="0011239F" w14:paraId="1C06DA5B" w14:textId="77777777" w:rsidTr="003C6E9F">
        <w:trPr>
          <w:trHeight w:val="225"/>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3FFADF8D"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Assets</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165EE98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5231E0E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auto"/>
              <w:right w:val="single" w:sz="4" w:space="0" w:color="FFFFFF"/>
            </w:tcBorders>
            <w:shd w:val="clear" w:color="auto" w:fill="auto"/>
            <w:noWrap/>
            <w:vAlign w:val="center"/>
            <w:hideMark/>
          </w:tcPr>
          <w:p w14:paraId="5E8E816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64817E1"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4DF3A6A8"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Total </w:t>
            </w:r>
            <w:proofErr w:type="spellStart"/>
            <w:proofErr w:type="gramStart"/>
            <w:r w:rsidRPr="0011239F">
              <w:rPr>
                <w:rFonts w:ascii="Arial" w:hAnsi="Arial" w:cs="Arial"/>
                <w:b/>
                <w:bCs/>
                <w:color w:val="25A9E1"/>
                <w:sz w:val="18"/>
                <w:szCs w:val="18"/>
                <w:lang w:eastAsia="en-AU"/>
              </w:rPr>
              <w:t>Non Current</w:t>
            </w:r>
            <w:proofErr w:type="spellEnd"/>
            <w:proofErr w:type="gramEnd"/>
            <w:r w:rsidRPr="0011239F">
              <w:rPr>
                <w:rFonts w:ascii="Arial" w:hAnsi="Arial" w:cs="Arial"/>
                <w:b/>
                <w:bCs/>
                <w:color w:val="25A9E1"/>
                <w:sz w:val="18"/>
                <w:szCs w:val="18"/>
                <w:lang w:eastAsia="en-AU"/>
              </w:rPr>
              <w:t xml:space="preserve"> Assets</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174D4D75"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3,853,058</w:t>
            </w:r>
          </w:p>
        </w:tc>
        <w:tc>
          <w:tcPr>
            <w:tcW w:w="619"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0BA12D7E"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3,847,852</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415ADFCA"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3,843,909</w:t>
            </w:r>
          </w:p>
        </w:tc>
      </w:tr>
      <w:tr w:rsidR="007940B2" w:rsidRPr="0011239F" w14:paraId="6BE36EC2"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26C9083A"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Assets</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094D6BB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4,339,367</w:t>
            </w:r>
          </w:p>
        </w:tc>
        <w:tc>
          <w:tcPr>
            <w:tcW w:w="619"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A2A32BA"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4,263,348</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3FE9155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4,266,445</w:t>
            </w:r>
          </w:p>
        </w:tc>
      </w:tr>
      <w:tr w:rsidR="007940B2" w:rsidRPr="0011239F" w14:paraId="7045B746"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F1CFA5F"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Liabilities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5BDC59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3C51D26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2A00804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2EBBA30A"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3D94DAF6" w14:textId="77777777" w:rsidR="007940B2" w:rsidRPr="0011239F" w:rsidRDefault="007940B2" w:rsidP="003C6E9F">
            <w:pPr>
              <w:rPr>
                <w:rFonts w:ascii="Arial" w:hAnsi="Arial" w:cs="Arial"/>
                <w:b/>
                <w:bCs/>
                <w:sz w:val="18"/>
                <w:szCs w:val="18"/>
                <w:lang w:eastAsia="en-AU"/>
              </w:rPr>
            </w:pPr>
            <w:r w:rsidRPr="0011239F">
              <w:rPr>
                <w:rFonts w:ascii="Arial" w:hAnsi="Arial" w:cs="Arial"/>
                <w:b/>
                <w:bCs/>
                <w:sz w:val="18"/>
                <w:szCs w:val="18"/>
                <w:lang w:eastAsia="en-AU"/>
              </w:rPr>
              <w:t>Current Liabilities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2A0E3D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4150713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4615005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6ADB5918"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6F6A7366"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Payable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1D9F5C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01B7D37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437C70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B4370AD"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BF5E0B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Payables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2BB033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120,074</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B77C92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118,892</w:t>
            </w:r>
          </w:p>
        </w:tc>
        <w:tc>
          <w:tcPr>
            <w:tcW w:w="613" w:type="pct"/>
            <w:tcBorders>
              <w:top w:val="nil"/>
              <w:left w:val="nil"/>
              <w:bottom w:val="single" w:sz="4" w:space="0" w:color="FFFFFF"/>
              <w:right w:val="single" w:sz="4" w:space="0" w:color="FFFFFF"/>
            </w:tcBorders>
            <w:shd w:val="clear" w:color="auto" w:fill="auto"/>
            <w:noWrap/>
            <w:vAlign w:val="center"/>
            <w:hideMark/>
          </w:tcPr>
          <w:p w14:paraId="3D6D758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118,892</w:t>
            </w:r>
          </w:p>
        </w:tc>
      </w:tr>
      <w:tr w:rsidR="007940B2" w:rsidRPr="0011239F" w14:paraId="6019D61D"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5546572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Liabilities at Fair Value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689E60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34B891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3D727A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57DC75F"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5A37EE33"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Borrowings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EBA084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31DD296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C8AD79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E6189C3"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556699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Provisions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F1DBD2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82,745</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2EDEE8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91,493</w:t>
            </w:r>
          </w:p>
        </w:tc>
        <w:tc>
          <w:tcPr>
            <w:tcW w:w="613" w:type="pct"/>
            <w:tcBorders>
              <w:top w:val="nil"/>
              <w:left w:val="nil"/>
              <w:bottom w:val="single" w:sz="4" w:space="0" w:color="FFFFFF"/>
              <w:right w:val="single" w:sz="4" w:space="0" w:color="FFFFFF"/>
            </w:tcBorders>
            <w:shd w:val="clear" w:color="auto" w:fill="auto"/>
            <w:noWrap/>
            <w:vAlign w:val="center"/>
            <w:hideMark/>
          </w:tcPr>
          <w:p w14:paraId="4CE3E8A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94,367</w:t>
            </w:r>
          </w:p>
        </w:tc>
      </w:tr>
      <w:tr w:rsidR="007940B2" w:rsidRPr="0011239F" w14:paraId="37E929EB"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5EEEED0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F083B0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145,723</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49CD3D5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125,789</w:t>
            </w:r>
          </w:p>
        </w:tc>
        <w:tc>
          <w:tcPr>
            <w:tcW w:w="613" w:type="pct"/>
            <w:tcBorders>
              <w:top w:val="nil"/>
              <w:left w:val="nil"/>
              <w:bottom w:val="single" w:sz="4" w:space="0" w:color="FFFFFF"/>
              <w:right w:val="single" w:sz="4" w:space="0" w:color="FFFFFF"/>
            </w:tcBorders>
            <w:shd w:val="clear" w:color="auto" w:fill="auto"/>
            <w:noWrap/>
            <w:vAlign w:val="center"/>
            <w:hideMark/>
          </w:tcPr>
          <w:p w14:paraId="61B6ABC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88,876</w:t>
            </w:r>
          </w:p>
        </w:tc>
      </w:tr>
      <w:tr w:rsidR="007940B2" w:rsidRPr="0011239F" w14:paraId="09799822"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6F9E56E"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Liabilities Associated with Assets Held for Sale</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3BE36442"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1D8A13C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auto"/>
              <w:right w:val="single" w:sz="4" w:space="0" w:color="FFFFFF"/>
            </w:tcBorders>
            <w:shd w:val="clear" w:color="auto" w:fill="auto"/>
            <w:noWrap/>
            <w:vAlign w:val="center"/>
            <w:hideMark/>
          </w:tcPr>
          <w:p w14:paraId="55250D3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2DAB28D" w14:textId="77777777" w:rsidTr="00A11350">
        <w:trPr>
          <w:trHeight w:val="340"/>
        </w:trPr>
        <w:tc>
          <w:tcPr>
            <w:tcW w:w="315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8CE01F5"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Current Liabilities</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322DD0EC"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348,542</w:t>
            </w:r>
          </w:p>
        </w:tc>
        <w:tc>
          <w:tcPr>
            <w:tcW w:w="619"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22B4BB1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336,173</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0A7919AD"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302,134</w:t>
            </w:r>
          </w:p>
        </w:tc>
      </w:tr>
      <w:tr w:rsidR="007940B2" w:rsidRPr="0011239F" w14:paraId="59A11B74"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B00A79B" w14:textId="77777777" w:rsidR="007940B2" w:rsidRPr="0011239F" w:rsidRDefault="007940B2" w:rsidP="003C6E9F">
            <w:pPr>
              <w:rPr>
                <w:rFonts w:ascii="Arial" w:hAnsi="Arial" w:cs="Arial"/>
                <w:b/>
                <w:bCs/>
                <w:sz w:val="18"/>
                <w:szCs w:val="18"/>
                <w:lang w:eastAsia="en-AU"/>
              </w:rPr>
            </w:pPr>
            <w:proofErr w:type="spellStart"/>
            <w:proofErr w:type="gramStart"/>
            <w:r w:rsidRPr="0011239F">
              <w:rPr>
                <w:rFonts w:ascii="Arial" w:hAnsi="Arial" w:cs="Arial"/>
                <w:b/>
                <w:bCs/>
                <w:sz w:val="18"/>
                <w:szCs w:val="18"/>
                <w:lang w:eastAsia="en-AU"/>
              </w:rPr>
              <w:t>Non Current</w:t>
            </w:r>
            <w:proofErr w:type="spellEnd"/>
            <w:proofErr w:type="gramEnd"/>
            <w:r w:rsidRPr="0011239F">
              <w:rPr>
                <w:rFonts w:ascii="Arial" w:hAnsi="Arial" w:cs="Arial"/>
                <w:b/>
                <w:bCs/>
                <w:sz w:val="18"/>
                <w:szCs w:val="18"/>
                <w:lang w:eastAsia="en-AU"/>
              </w:rPr>
              <w:t xml:space="preserve"> Liabilities</w:t>
            </w:r>
          </w:p>
        </w:tc>
        <w:tc>
          <w:tcPr>
            <w:tcW w:w="616"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632AE41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single" w:sz="4" w:space="0" w:color="auto"/>
              <w:left w:val="nil"/>
              <w:bottom w:val="single" w:sz="4" w:space="0" w:color="FFFFFF"/>
              <w:right w:val="single" w:sz="4" w:space="0" w:color="FFFFFF"/>
            </w:tcBorders>
            <w:shd w:val="clear" w:color="auto" w:fill="auto"/>
            <w:noWrap/>
            <w:vAlign w:val="center"/>
            <w:hideMark/>
          </w:tcPr>
          <w:p w14:paraId="7F7D06B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auto"/>
              <w:left w:val="nil"/>
              <w:bottom w:val="single" w:sz="4" w:space="0" w:color="FFFFFF"/>
              <w:right w:val="single" w:sz="4" w:space="0" w:color="FFFFFF"/>
            </w:tcBorders>
            <w:shd w:val="clear" w:color="auto" w:fill="auto"/>
            <w:noWrap/>
            <w:vAlign w:val="center"/>
            <w:hideMark/>
          </w:tcPr>
          <w:p w14:paraId="7A779BC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6DC1D2B4"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14A7277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Taxes Payable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BA15FB6"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28E1A96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42C97A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2E14E3F"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3FBD2DB7"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Payables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78F95B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3A6FEF0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73313C40"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0DA40DF"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5883AF69"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Financial Liabilities at Fair Value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EED37E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D86237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E0C16F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F98CCAD"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5FF792DC"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Borrowings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37C9F8A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5A56279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639B9C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14,040</w:t>
            </w:r>
          </w:p>
        </w:tc>
      </w:tr>
      <w:tr w:rsidR="007940B2" w:rsidRPr="0011239F" w14:paraId="15480007"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3F0EA55"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Provisions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C5A7E6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2,800</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46B0A9E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2,874</w:t>
            </w:r>
          </w:p>
        </w:tc>
        <w:tc>
          <w:tcPr>
            <w:tcW w:w="613" w:type="pct"/>
            <w:tcBorders>
              <w:top w:val="nil"/>
              <w:left w:val="nil"/>
              <w:bottom w:val="single" w:sz="4" w:space="0" w:color="FFFFFF"/>
              <w:right w:val="single" w:sz="4" w:space="0" w:color="FFFFFF"/>
            </w:tcBorders>
            <w:shd w:val="clear" w:color="auto" w:fill="auto"/>
            <w:noWrap/>
            <w:vAlign w:val="center"/>
            <w:hideMark/>
          </w:tcPr>
          <w:p w14:paraId="02731DB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2,874</w:t>
            </w:r>
          </w:p>
        </w:tc>
      </w:tr>
      <w:tr w:rsidR="007940B2" w:rsidRPr="0011239F" w14:paraId="50FD2B5B"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0635BA68"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63CD231"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7658744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A7260E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759BB65" w14:textId="77777777" w:rsidTr="00A11350">
        <w:trPr>
          <w:trHeight w:val="340"/>
        </w:trPr>
        <w:tc>
          <w:tcPr>
            <w:tcW w:w="315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B7511EF"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Total </w:t>
            </w:r>
            <w:proofErr w:type="spellStart"/>
            <w:proofErr w:type="gramStart"/>
            <w:r w:rsidRPr="0011239F">
              <w:rPr>
                <w:rFonts w:ascii="Arial" w:hAnsi="Arial" w:cs="Arial"/>
                <w:b/>
                <w:bCs/>
                <w:color w:val="25A9E1"/>
                <w:sz w:val="18"/>
                <w:szCs w:val="18"/>
                <w:lang w:eastAsia="en-AU"/>
              </w:rPr>
              <w:t>Non Current</w:t>
            </w:r>
            <w:proofErr w:type="spellEnd"/>
            <w:proofErr w:type="gramEnd"/>
            <w:r w:rsidRPr="0011239F">
              <w:rPr>
                <w:rFonts w:ascii="Arial" w:hAnsi="Arial" w:cs="Arial"/>
                <w:b/>
                <w:bCs/>
                <w:color w:val="25A9E1"/>
                <w:sz w:val="18"/>
                <w:szCs w:val="18"/>
                <w:lang w:eastAsia="en-AU"/>
              </w:rPr>
              <w:t xml:space="preserve"> Liabilities</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53DC96D"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2,800</w:t>
            </w:r>
          </w:p>
        </w:tc>
        <w:tc>
          <w:tcPr>
            <w:tcW w:w="619"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E653F0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2,874</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6D2ECC1F"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16,914</w:t>
            </w:r>
          </w:p>
        </w:tc>
      </w:tr>
      <w:tr w:rsidR="007940B2" w:rsidRPr="0011239F" w14:paraId="604FF77D"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0876EE88"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Liabilities</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55A98CE7"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351,342</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648F6E48"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339,047</w:t>
            </w:r>
          </w:p>
        </w:tc>
        <w:tc>
          <w:tcPr>
            <w:tcW w:w="613" w:type="pct"/>
            <w:tcBorders>
              <w:top w:val="nil"/>
              <w:left w:val="nil"/>
              <w:bottom w:val="single" w:sz="4" w:space="0" w:color="auto"/>
              <w:right w:val="single" w:sz="4" w:space="0" w:color="FFFFFF"/>
            </w:tcBorders>
            <w:shd w:val="clear" w:color="auto" w:fill="auto"/>
            <w:noWrap/>
            <w:vAlign w:val="center"/>
            <w:hideMark/>
          </w:tcPr>
          <w:p w14:paraId="6D869D5D"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319,048</w:t>
            </w:r>
          </w:p>
        </w:tc>
      </w:tr>
      <w:tr w:rsidR="007940B2" w:rsidRPr="0011239F" w14:paraId="7665B465"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76D6563E"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Net Assets</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17B76E94"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3,988,025</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7319E686"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3,924,301</w:t>
            </w:r>
          </w:p>
        </w:tc>
        <w:tc>
          <w:tcPr>
            <w:tcW w:w="613" w:type="pct"/>
            <w:tcBorders>
              <w:top w:val="nil"/>
              <w:left w:val="nil"/>
              <w:bottom w:val="single" w:sz="4" w:space="0" w:color="auto"/>
              <w:right w:val="single" w:sz="4" w:space="0" w:color="FFFFFF"/>
            </w:tcBorders>
            <w:shd w:val="clear" w:color="auto" w:fill="auto"/>
            <w:noWrap/>
            <w:vAlign w:val="center"/>
            <w:hideMark/>
          </w:tcPr>
          <w:p w14:paraId="43AD9CD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3,947,397</w:t>
            </w:r>
          </w:p>
        </w:tc>
      </w:tr>
      <w:tr w:rsidR="007940B2" w:rsidRPr="0011239F" w14:paraId="3963A9C4"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36C688EB"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Equity</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797F6D85"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28997277"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center"/>
            <w:hideMark/>
          </w:tcPr>
          <w:p w14:paraId="21C90F7B"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30D1E71B"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3F749401"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Accumulated Funds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765EAEFF"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1,634,164</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296C552A"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1,499,768</w:t>
            </w:r>
          </w:p>
        </w:tc>
        <w:tc>
          <w:tcPr>
            <w:tcW w:w="613" w:type="pct"/>
            <w:tcBorders>
              <w:top w:val="nil"/>
              <w:left w:val="nil"/>
              <w:bottom w:val="single" w:sz="4" w:space="0" w:color="FFFFFF"/>
              <w:right w:val="single" w:sz="4" w:space="0" w:color="FFFFFF"/>
            </w:tcBorders>
            <w:shd w:val="clear" w:color="auto" w:fill="auto"/>
            <w:noWrap/>
            <w:vAlign w:val="center"/>
            <w:hideMark/>
          </w:tcPr>
          <w:p w14:paraId="3C0BEEB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1,522,864</w:t>
            </w:r>
          </w:p>
        </w:tc>
      </w:tr>
      <w:tr w:rsidR="007940B2" w:rsidRPr="0011239F" w14:paraId="63A6C07F"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F9BBD9D"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Reserves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4C622D4"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2,353,861</w:t>
            </w:r>
          </w:p>
        </w:tc>
        <w:tc>
          <w:tcPr>
            <w:tcW w:w="619" w:type="pct"/>
            <w:gridSpan w:val="2"/>
            <w:tcBorders>
              <w:top w:val="nil"/>
              <w:left w:val="nil"/>
              <w:bottom w:val="single" w:sz="4" w:space="0" w:color="FFFFFF"/>
              <w:right w:val="single" w:sz="4" w:space="0" w:color="FFFFFF"/>
            </w:tcBorders>
            <w:shd w:val="clear" w:color="auto" w:fill="auto"/>
            <w:noWrap/>
            <w:vAlign w:val="center"/>
            <w:hideMark/>
          </w:tcPr>
          <w:p w14:paraId="1032DCFC"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2,424,533</w:t>
            </w:r>
          </w:p>
        </w:tc>
        <w:tc>
          <w:tcPr>
            <w:tcW w:w="613" w:type="pct"/>
            <w:tcBorders>
              <w:top w:val="nil"/>
              <w:left w:val="nil"/>
              <w:bottom w:val="single" w:sz="4" w:space="0" w:color="FFFFFF"/>
              <w:right w:val="single" w:sz="4" w:space="0" w:color="FFFFFF"/>
            </w:tcBorders>
            <w:shd w:val="clear" w:color="auto" w:fill="auto"/>
            <w:noWrap/>
            <w:vAlign w:val="center"/>
            <w:hideMark/>
          </w:tcPr>
          <w:p w14:paraId="0A546B58"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2,424,533</w:t>
            </w:r>
          </w:p>
        </w:tc>
      </w:tr>
      <w:tr w:rsidR="007940B2" w:rsidRPr="0011239F" w14:paraId="56A2E4FA" w14:textId="77777777" w:rsidTr="003C6E9F">
        <w:trPr>
          <w:trHeight w:val="30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0F33A474" w14:textId="77777777" w:rsidR="007940B2" w:rsidRPr="0011239F" w:rsidRDefault="007940B2" w:rsidP="003C6E9F">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Capital Equity</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4B38A139"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568DF28E"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auto"/>
              <w:right w:val="single" w:sz="4" w:space="0" w:color="FFFFFF"/>
            </w:tcBorders>
            <w:shd w:val="clear" w:color="auto" w:fill="auto"/>
            <w:noWrap/>
            <w:vAlign w:val="center"/>
            <w:hideMark/>
          </w:tcPr>
          <w:p w14:paraId="1E9F0C2D" w14:textId="77777777" w:rsidR="007940B2" w:rsidRPr="0011239F" w:rsidRDefault="007940B2" w:rsidP="003C6E9F">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D14376E"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4237215D" w14:textId="77777777" w:rsidR="007940B2" w:rsidRPr="0011239F" w:rsidRDefault="007940B2" w:rsidP="003C6E9F">
            <w:pPr>
              <w:rPr>
                <w:rFonts w:ascii="Arial" w:hAnsi="Arial" w:cs="Arial"/>
                <w:b/>
                <w:bCs/>
                <w:color w:val="25A9E1"/>
                <w:sz w:val="18"/>
                <w:szCs w:val="18"/>
                <w:lang w:eastAsia="en-AU"/>
              </w:rPr>
            </w:pPr>
            <w:r w:rsidRPr="0011239F">
              <w:rPr>
                <w:rFonts w:ascii="Arial" w:hAnsi="Arial" w:cs="Arial"/>
                <w:b/>
                <w:bCs/>
                <w:color w:val="25A9E1"/>
                <w:sz w:val="18"/>
                <w:szCs w:val="18"/>
                <w:lang w:eastAsia="en-AU"/>
              </w:rPr>
              <w:t>Total Equity</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5807BEC1"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3,988,025</w:t>
            </w:r>
          </w:p>
        </w:tc>
        <w:tc>
          <w:tcPr>
            <w:tcW w:w="619" w:type="pct"/>
            <w:gridSpan w:val="2"/>
            <w:tcBorders>
              <w:top w:val="nil"/>
              <w:left w:val="nil"/>
              <w:bottom w:val="single" w:sz="4" w:space="0" w:color="auto"/>
              <w:right w:val="single" w:sz="4" w:space="0" w:color="FFFFFF"/>
            </w:tcBorders>
            <w:shd w:val="clear" w:color="auto" w:fill="auto"/>
            <w:noWrap/>
            <w:vAlign w:val="center"/>
            <w:hideMark/>
          </w:tcPr>
          <w:p w14:paraId="3C2DE760"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3,924,301</w:t>
            </w:r>
          </w:p>
        </w:tc>
        <w:tc>
          <w:tcPr>
            <w:tcW w:w="613" w:type="pct"/>
            <w:tcBorders>
              <w:top w:val="nil"/>
              <w:left w:val="nil"/>
              <w:bottom w:val="single" w:sz="4" w:space="0" w:color="auto"/>
              <w:right w:val="single" w:sz="4" w:space="0" w:color="FFFFFF"/>
            </w:tcBorders>
            <w:shd w:val="clear" w:color="auto" w:fill="auto"/>
            <w:noWrap/>
            <w:vAlign w:val="center"/>
            <w:hideMark/>
          </w:tcPr>
          <w:p w14:paraId="481231FB" w14:textId="77777777" w:rsidR="007940B2" w:rsidRPr="0011239F" w:rsidRDefault="007940B2" w:rsidP="003C6E9F">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3,947,397</w:t>
            </w:r>
          </w:p>
        </w:tc>
      </w:tr>
    </w:tbl>
    <w:p w14:paraId="23E16EBC" w14:textId="77777777" w:rsidR="00A11350" w:rsidRPr="0011239F" w:rsidRDefault="00A11350">
      <w:pPr>
        <w:rPr>
          <w:rFonts w:ascii="Arial" w:hAnsi="Arial" w:cs="Arial"/>
          <w:b/>
          <w:kern w:val="28"/>
          <w:sz w:val="25"/>
          <w:szCs w:val="36"/>
          <w:lang w:eastAsia="en-AU"/>
        </w:rPr>
      </w:pPr>
      <w:r w:rsidRPr="0011239F">
        <w:rPr>
          <w:rFonts w:ascii="Arial" w:hAnsi="Arial" w:cs="Arial"/>
          <w:lang w:eastAsia="en-AU"/>
        </w:rPr>
        <w:br w:type="page"/>
      </w:r>
    </w:p>
    <w:p w14:paraId="013AE61B" w14:textId="4898AAE8" w:rsidR="007940B2" w:rsidRPr="0011239F" w:rsidRDefault="007940B2" w:rsidP="00DB3AC8">
      <w:pPr>
        <w:pStyle w:val="Heading4"/>
        <w:spacing w:before="0"/>
        <w:rPr>
          <w:rFonts w:cs="Arial"/>
          <w:lang w:eastAsia="en-AU"/>
        </w:rPr>
      </w:pPr>
      <w:r w:rsidRPr="0011239F">
        <w:rPr>
          <w:rFonts w:cs="Arial"/>
          <w:lang w:eastAsia="en-AU"/>
        </w:rPr>
        <w:lastRenderedPageBreak/>
        <w:t>Cash Flow Statement</w:t>
      </w:r>
    </w:p>
    <w:tbl>
      <w:tblPr>
        <w:tblW w:w="5012" w:type="pct"/>
        <w:tblLook w:val="04A0" w:firstRow="1" w:lastRow="0" w:firstColumn="1" w:lastColumn="0" w:noHBand="0" w:noVBand="1"/>
        <w:tblCaption w:val="TAFE Commission"/>
        <w:tblDescription w:val="TAFE Commission - Cash Flow Statement"/>
      </w:tblPr>
      <w:tblGrid>
        <w:gridCol w:w="6090"/>
        <w:gridCol w:w="8"/>
        <w:gridCol w:w="1183"/>
        <w:gridCol w:w="6"/>
        <w:gridCol w:w="1190"/>
        <w:gridCol w:w="1185"/>
      </w:tblGrid>
      <w:tr w:rsidR="003C6E9F" w:rsidRPr="0011239F" w14:paraId="0248CE21" w14:textId="77777777" w:rsidTr="003C6E9F">
        <w:trPr>
          <w:trHeight w:val="283"/>
        </w:trPr>
        <w:tc>
          <w:tcPr>
            <w:tcW w:w="3156" w:type="pct"/>
            <w:gridSpan w:val="2"/>
            <w:shd w:val="clear" w:color="auto" w:fill="00ABE6"/>
            <w:vAlign w:val="center"/>
            <w:hideMark/>
          </w:tcPr>
          <w:p w14:paraId="57C9EB9B"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1231" w:type="pct"/>
            <w:gridSpan w:val="3"/>
            <w:shd w:val="clear" w:color="auto" w:fill="00ABE6"/>
            <w:vAlign w:val="bottom"/>
            <w:hideMark/>
          </w:tcPr>
          <w:p w14:paraId="786084AD"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2018-19</w:t>
            </w:r>
          </w:p>
        </w:tc>
        <w:tc>
          <w:tcPr>
            <w:tcW w:w="613" w:type="pct"/>
            <w:shd w:val="clear" w:color="auto" w:fill="00ABE6"/>
            <w:vAlign w:val="bottom"/>
            <w:hideMark/>
          </w:tcPr>
          <w:p w14:paraId="29CEEC37"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2019-20</w:t>
            </w:r>
          </w:p>
        </w:tc>
      </w:tr>
      <w:tr w:rsidR="003C6E9F" w:rsidRPr="0011239F" w14:paraId="012765F8" w14:textId="77777777" w:rsidTr="003C6E9F">
        <w:trPr>
          <w:trHeight w:val="255"/>
        </w:trPr>
        <w:tc>
          <w:tcPr>
            <w:tcW w:w="3156" w:type="pct"/>
            <w:gridSpan w:val="2"/>
            <w:shd w:val="clear" w:color="auto" w:fill="00ABE6"/>
            <w:vAlign w:val="center"/>
            <w:hideMark/>
          </w:tcPr>
          <w:p w14:paraId="3E187ACA"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gridSpan w:val="2"/>
            <w:shd w:val="clear" w:color="auto" w:fill="00ABE6"/>
            <w:vAlign w:val="center"/>
            <w:hideMark/>
          </w:tcPr>
          <w:p w14:paraId="4C2B7711"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c>
          <w:tcPr>
            <w:tcW w:w="616" w:type="pct"/>
            <w:shd w:val="clear" w:color="auto" w:fill="00ABE6"/>
            <w:vAlign w:val="center"/>
            <w:hideMark/>
          </w:tcPr>
          <w:p w14:paraId="3A83B64C"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Revised</w:t>
            </w:r>
          </w:p>
        </w:tc>
        <w:tc>
          <w:tcPr>
            <w:tcW w:w="613" w:type="pct"/>
            <w:shd w:val="clear" w:color="auto" w:fill="00ABE6"/>
            <w:vAlign w:val="center"/>
            <w:hideMark/>
          </w:tcPr>
          <w:p w14:paraId="69F54365"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Budget</w:t>
            </w:r>
          </w:p>
        </w:tc>
      </w:tr>
      <w:tr w:rsidR="003C6E9F" w:rsidRPr="0011239F" w14:paraId="18E5BE52" w14:textId="77777777" w:rsidTr="003C6E9F">
        <w:trPr>
          <w:trHeight w:val="238"/>
        </w:trPr>
        <w:tc>
          <w:tcPr>
            <w:tcW w:w="3156" w:type="pct"/>
            <w:gridSpan w:val="2"/>
            <w:shd w:val="clear" w:color="auto" w:fill="0A7CB9"/>
            <w:vAlign w:val="center"/>
            <w:hideMark/>
          </w:tcPr>
          <w:p w14:paraId="5F7F7A43" w14:textId="77777777" w:rsidR="003C6E9F" w:rsidRPr="0011239F" w:rsidRDefault="003C6E9F" w:rsidP="003223AF">
            <w:pPr>
              <w:rPr>
                <w:rFonts w:ascii="Arial" w:hAnsi="Arial" w:cs="Arial"/>
                <w:color w:val="FFFFFF"/>
                <w:sz w:val="18"/>
                <w:szCs w:val="18"/>
                <w:lang w:eastAsia="en-AU"/>
              </w:rPr>
            </w:pPr>
            <w:r w:rsidRPr="0011239F">
              <w:rPr>
                <w:rFonts w:ascii="Arial" w:hAnsi="Arial" w:cs="Arial"/>
                <w:color w:val="FFFFFF"/>
                <w:sz w:val="18"/>
                <w:szCs w:val="18"/>
                <w:lang w:eastAsia="en-AU"/>
              </w:rPr>
              <w:t> </w:t>
            </w:r>
          </w:p>
        </w:tc>
        <w:tc>
          <w:tcPr>
            <w:tcW w:w="615" w:type="pct"/>
            <w:gridSpan w:val="2"/>
            <w:shd w:val="clear" w:color="auto" w:fill="0A7CB9"/>
            <w:hideMark/>
          </w:tcPr>
          <w:p w14:paraId="38824BC3"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6" w:type="pct"/>
            <w:shd w:val="clear" w:color="auto" w:fill="0A7CB9"/>
            <w:hideMark/>
          </w:tcPr>
          <w:p w14:paraId="79A13A99"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c>
          <w:tcPr>
            <w:tcW w:w="613" w:type="pct"/>
            <w:shd w:val="clear" w:color="auto" w:fill="0A7CB9"/>
            <w:hideMark/>
          </w:tcPr>
          <w:p w14:paraId="3951F9B7" w14:textId="77777777" w:rsidR="003C6E9F" w:rsidRPr="0011239F" w:rsidRDefault="003C6E9F" w:rsidP="003223AF">
            <w:pPr>
              <w:jc w:val="center"/>
              <w:rPr>
                <w:rFonts w:ascii="Arial" w:hAnsi="Arial" w:cs="Arial"/>
                <w:color w:val="FFFFFF"/>
                <w:sz w:val="18"/>
                <w:szCs w:val="18"/>
                <w:lang w:eastAsia="en-AU"/>
              </w:rPr>
            </w:pPr>
            <w:r w:rsidRPr="0011239F">
              <w:rPr>
                <w:rFonts w:ascii="Arial" w:hAnsi="Arial" w:cs="Arial"/>
                <w:color w:val="FFFFFF"/>
                <w:sz w:val="18"/>
                <w:szCs w:val="18"/>
                <w:lang w:eastAsia="en-AU"/>
              </w:rPr>
              <w:t>$000</w:t>
            </w:r>
          </w:p>
        </w:tc>
      </w:tr>
      <w:tr w:rsidR="007940B2" w:rsidRPr="0011239F" w14:paraId="21132ED6" w14:textId="77777777" w:rsidTr="003C6E9F">
        <w:trPr>
          <w:trHeight w:val="225"/>
        </w:trPr>
        <w:tc>
          <w:tcPr>
            <w:tcW w:w="315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4C7906B"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Operating Activities</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36FC34CF"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bottom"/>
            <w:hideMark/>
          </w:tcPr>
          <w:p w14:paraId="0482BE2C"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single" w:sz="4" w:space="0" w:color="FFFFFF"/>
              <w:left w:val="nil"/>
              <w:bottom w:val="single" w:sz="4" w:space="0" w:color="FFFFFF"/>
              <w:right w:val="single" w:sz="4" w:space="0" w:color="FFFFFF"/>
            </w:tcBorders>
            <w:shd w:val="clear" w:color="auto" w:fill="auto"/>
            <w:noWrap/>
            <w:vAlign w:val="bottom"/>
            <w:hideMark/>
          </w:tcPr>
          <w:p w14:paraId="26C650B6"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7F6C2F01"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77F87D9D" w14:textId="77777777" w:rsidR="007940B2" w:rsidRPr="0011239F" w:rsidRDefault="007940B2" w:rsidP="007940B2">
            <w:pPr>
              <w:rPr>
                <w:rFonts w:ascii="Arial" w:hAnsi="Arial" w:cs="Arial"/>
                <w:b/>
                <w:bCs/>
                <w:sz w:val="18"/>
                <w:szCs w:val="18"/>
                <w:lang w:eastAsia="en-AU"/>
              </w:rPr>
            </w:pPr>
            <w:r w:rsidRPr="0011239F">
              <w:rPr>
                <w:rFonts w:ascii="Arial" w:hAnsi="Arial" w:cs="Arial"/>
                <w:b/>
                <w:bCs/>
                <w:sz w:val="18"/>
                <w:szCs w:val="18"/>
                <w:lang w:eastAsia="en-AU"/>
              </w:rPr>
              <w:t>Payments</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12F7E0E1"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4A7AE07E"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670329EC" w14:textId="77777777" w:rsidR="007940B2" w:rsidRPr="0011239F" w:rsidRDefault="007940B2" w:rsidP="007940B2">
            <w:pPr>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78E311F7"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74542542"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Employee Related</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B26446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1,101,510</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61AB46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1,175,816</w:t>
            </w:r>
          </w:p>
        </w:tc>
        <w:tc>
          <w:tcPr>
            <w:tcW w:w="613" w:type="pct"/>
            <w:tcBorders>
              <w:top w:val="nil"/>
              <w:left w:val="nil"/>
              <w:bottom w:val="single" w:sz="4" w:space="0" w:color="FFFFFF"/>
              <w:right w:val="single" w:sz="4" w:space="0" w:color="FFFFFF"/>
            </w:tcBorders>
            <w:shd w:val="clear" w:color="auto" w:fill="auto"/>
            <w:noWrap/>
            <w:vAlign w:val="center"/>
            <w:hideMark/>
          </w:tcPr>
          <w:p w14:paraId="29889C5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1,218,491</w:t>
            </w:r>
          </w:p>
        </w:tc>
      </w:tr>
      <w:tr w:rsidR="007940B2" w:rsidRPr="0011239F" w14:paraId="41C9C090"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A3538CD"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Personnel Services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6D0E4E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36EADA0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ABBCD8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560B2F2"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73ED3771"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Grants and Subsidies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E74CFC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254DF1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CFF335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3F00A8A"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29BDC5CE"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Finance Costs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705A4C2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3281F4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4543C52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43071B4"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AD13D01"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Equivalent Income Tax</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81E264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7AF669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F0028F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059EFD8" w14:textId="77777777" w:rsidTr="003C6E9F">
        <w:trPr>
          <w:trHeight w:val="225"/>
        </w:trPr>
        <w:tc>
          <w:tcPr>
            <w:tcW w:w="3152" w:type="pct"/>
            <w:tcBorders>
              <w:top w:val="nil"/>
              <w:left w:val="single" w:sz="4" w:space="0" w:color="FFFFFF"/>
              <w:bottom w:val="nil"/>
              <w:right w:val="single" w:sz="4" w:space="0" w:color="FFFFFF"/>
            </w:tcBorders>
            <w:shd w:val="clear" w:color="auto" w:fill="auto"/>
            <w:noWrap/>
            <w:vAlign w:val="bottom"/>
            <w:hideMark/>
          </w:tcPr>
          <w:p w14:paraId="01870ED7"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Payments</w:t>
            </w:r>
          </w:p>
        </w:tc>
        <w:tc>
          <w:tcPr>
            <w:tcW w:w="616" w:type="pct"/>
            <w:gridSpan w:val="2"/>
            <w:tcBorders>
              <w:top w:val="nil"/>
              <w:left w:val="nil"/>
              <w:bottom w:val="nil"/>
              <w:right w:val="single" w:sz="4" w:space="0" w:color="FFFFFF"/>
            </w:tcBorders>
            <w:shd w:val="clear" w:color="auto" w:fill="auto"/>
            <w:noWrap/>
            <w:vAlign w:val="center"/>
            <w:hideMark/>
          </w:tcPr>
          <w:p w14:paraId="3550F8B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465,736</w:t>
            </w:r>
          </w:p>
        </w:tc>
        <w:tc>
          <w:tcPr>
            <w:tcW w:w="616" w:type="pct"/>
            <w:gridSpan w:val="2"/>
            <w:tcBorders>
              <w:top w:val="nil"/>
              <w:left w:val="nil"/>
              <w:bottom w:val="nil"/>
              <w:right w:val="single" w:sz="4" w:space="0" w:color="FFFFFF"/>
            </w:tcBorders>
            <w:shd w:val="clear" w:color="auto" w:fill="auto"/>
            <w:noWrap/>
            <w:vAlign w:val="center"/>
            <w:hideMark/>
          </w:tcPr>
          <w:p w14:paraId="7E63520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446,374</w:t>
            </w:r>
          </w:p>
        </w:tc>
        <w:tc>
          <w:tcPr>
            <w:tcW w:w="613" w:type="pct"/>
            <w:tcBorders>
              <w:top w:val="nil"/>
              <w:left w:val="nil"/>
              <w:bottom w:val="nil"/>
              <w:right w:val="single" w:sz="4" w:space="0" w:color="FFFFFF"/>
            </w:tcBorders>
            <w:shd w:val="clear" w:color="auto" w:fill="auto"/>
            <w:noWrap/>
            <w:vAlign w:val="center"/>
            <w:hideMark/>
          </w:tcPr>
          <w:p w14:paraId="4350084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424,122</w:t>
            </w:r>
          </w:p>
        </w:tc>
      </w:tr>
      <w:tr w:rsidR="007940B2" w:rsidRPr="0011239F" w14:paraId="6C70CB76" w14:textId="77777777" w:rsidTr="00A11350">
        <w:trPr>
          <w:trHeight w:val="340"/>
        </w:trPr>
        <w:tc>
          <w:tcPr>
            <w:tcW w:w="315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55314D3" w14:textId="77777777" w:rsidR="007940B2" w:rsidRPr="0011239F" w:rsidRDefault="007940B2" w:rsidP="007940B2">
            <w:pPr>
              <w:ind w:firstLineChars="100" w:firstLine="181"/>
              <w:rPr>
                <w:rFonts w:ascii="Arial" w:hAnsi="Arial" w:cs="Arial"/>
                <w:b/>
                <w:bCs/>
                <w:color w:val="25A9E1"/>
                <w:sz w:val="18"/>
                <w:szCs w:val="18"/>
                <w:lang w:eastAsia="en-AU"/>
              </w:rPr>
            </w:pPr>
            <w:r w:rsidRPr="0011239F">
              <w:rPr>
                <w:rFonts w:ascii="Arial" w:hAnsi="Arial" w:cs="Arial"/>
                <w:b/>
                <w:bCs/>
                <w:color w:val="25A9E1"/>
                <w:sz w:val="18"/>
                <w:szCs w:val="18"/>
                <w:lang w:eastAsia="en-AU"/>
              </w:rPr>
              <w:t>Total Payments</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F52B719"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1,567,246</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434708C2"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1,622,190</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1727C9AE"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1,642,613</w:t>
            </w:r>
          </w:p>
        </w:tc>
      </w:tr>
      <w:tr w:rsidR="007940B2" w:rsidRPr="0011239F" w14:paraId="63174E6C"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3E3A50FF" w14:textId="77777777" w:rsidR="007940B2" w:rsidRPr="0011239F" w:rsidRDefault="007940B2" w:rsidP="007940B2">
            <w:pPr>
              <w:rPr>
                <w:rFonts w:ascii="Arial" w:hAnsi="Arial" w:cs="Arial"/>
                <w:b/>
                <w:bCs/>
                <w:sz w:val="18"/>
                <w:szCs w:val="18"/>
                <w:lang w:eastAsia="en-AU"/>
              </w:rPr>
            </w:pPr>
            <w:r w:rsidRPr="0011239F">
              <w:rPr>
                <w:rFonts w:ascii="Arial" w:hAnsi="Arial" w:cs="Arial"/>
                <w:b/>
                <w:bCs/>
                <w:sz w:val="18"/>
                <w:szCs w:val="18"/>
                <w:lang w:eastAsia="en-AU"/>
              </w:rPr>
              <w:t>Receipts</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5E422C76"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2BB0A54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32C24D2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4B84A0AC"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10288358"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Appropriation</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7D436EFA"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F056CE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E2E913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FFC5F34"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A14D634"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Cluster Grant Revenue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C6A5C1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60,000</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75A9D1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60,000</w:t>
            </w:r>
          </w:p>
        </w:tc>
        <w:tc>
          <w:tcPr>
            <w:tcW w:w="613" w:type="pct"/>
            <w:tcBorders>
              <w:top w:val="nil"/>
              <w:left w:val="nil"/>
              <w:bottom w:val="single" w:sz="4" w:space="0" w:color="FFFFFF"/>
              <w:right w:val="single" w:sz="4" w:space="0" w:color="FFFFFF"/>
            </w:tcBorders>
            <w:shd w:val="clear" w:color="auto" w:fill="auto"/>
            <w:noWrap/>
            <w:vAlign w:val="center"/>
            <w:hideMark/>
          </w:tcPr>
          <w:p w14:paraId="5A4A506E" w14:textId="1409E613" w:rsidR="007940B2" w:rsidRPr="0011239F" w:rsidRDefault="00D86F79"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690606E"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FDD4687"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Cash reimbursements from the Crown Entity</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6E76D9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7648E81"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7BBB16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398B5D9"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2BD02A6A"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Sale Proceeds Transfers to the Crown Entity</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BF7DEC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F2B447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59EDD1D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1DCA9AB"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6484FFE6"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Cash transfers to the Crown Entity</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D5A11F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371054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1E463F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47CA7056"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7965C6E8"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Sale of Goods and Services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08CB58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570,617</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11DEB6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411,597</w:t>
            </w:r>
          </w:p>
        </w:tc>
        <w:tc>
          <w:tcPr>
            <w:tcW w:w="613" w:type="pct"/>
            <w:tcBorders>
              <w:top w:val="nil"/>
              <w:left w:val="nil"/>
              <w:bottom w:val="single" w:sz="4" w:space="0" w:color="FFFFFF"/>
              <w:right w:val="single" w:sz="4" w:space="0" w:color="FFFFFF"/>
            </w:tcBorders>
            <w:shd w:val="clear" w:color="auto" w:fill="auto"/>
            <w:noWrap/>
            <w:vAlign w:val="center"/>
            <w:hideMark/>
          </w:tcPr>
          <w:p w14:paraId="33DD31C0" w14:textId="18E2DBE2" w:rsidR="007940B2" w:rsidRPr="0011239F" w:rsidRDefault="00F63A1F"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297,625</w:t>
            </w:r>
          </w:p>
        </w:tc>
      </w:tr>
      <w:tr w:rsidR="007940B2" w:rsidRPr="0011239F" w14:paraId="451C721F"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C446810"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Retained Taxes, Fees and Fines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758F8F8"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B53FCB1"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011C76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EAD90FB"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6F52DAB7"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Interest Received</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89D829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4,638</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DA781B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2,554</w:t>
            </w:r>
          </w:p>
        </w:tc>
        <w:tc>
          <w:tcPr>
            <w:tcW w:w="613" w:type="pct"/>
            <w:tcBorders>
              <w:top w:val="nil"/>
              <w:left w:val="nil"/>
              <w:bottom w:val="single" w:sz="4" w:space="0" w:color="FFFFFF"/>
              <w:right w:val="single" w:sz="4" w:space="0" w:color="FFFFFF"/>
            </w:tcBorders>
            <w:shd w:val="clear" w:color="auto" w:fill="auto"/>
            <w:noWrap/>
            <w:vAlign w:val="center"/>
            <w:hideMark/>
          </w:tcPr>
          <w:p w14:paraId="0E293A48"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2,851</w:t>
            </w:r>
          </w:p>
        </w:tc>
      </w:tr>
      <w:tr w:rsidR="007940B2" w:rsidRPr="0011239F" w14:paraId="52D19A5F"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439FC932"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Grants and Contributions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3F65F1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1,016,357</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7DAB3D6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1,080,073</w:t>
            </w:r>
          </w:p>
        </w:tc>
        <w:tc>
          <w:tcPr>
            <w:tcW w:w="613" w:type="pct"/>
            <w:tcBorders>
              <w:top w:val="nil"/>
              <w:left w:val="nil"/>
              <w:bottom w:val="single" w:sz="4" w:space="0" w:color="FFFFFF"/>
              <w:right w:val="single" w:sz="4" w:space="0" w:color="FFFFFF"/>
            </w:tcBorders>
            <w:shd w:val="clear" w:color="auto" w:fill="auto"/>
            <w:noWrap/>
            <w:vAlign w:val="center"/>
            <w:hideMark/>
          </w:tcPr>
          <w:p w14:paraId="2D5FE499" w14:textId="521A1EB4" w:rsidR="007940B2" w:rsidRPr="0011239F" w:rsidRDefault="00F63A1F"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1,474,299</w:t>
            </w:r>
          </w:p>
        </w:tc>
      </w:tr>
      <w:tr w:rsidR="007940B2" w:rsidRPr="0011239F" w14:paraId="115C7F4D" w14:textId="77777777" w:rsidTr="003C6E9F">
        <w:trPr>
          <w:trHeight w:val="225"/>
        </w:trPr>
        <w:tc>
          <w:tcPr>
            <w:tcW w:w="3152" w:type="pct"/>
            <w:tcBorders>
              <w:top w:val="nil"/>
              <w:left w:val="single" w:sz="4" w:space="0" w:color="FFFFFF"/>
              <w:bottom w:val="nil"/>
              <w:right w:val="single" w:sz="4" w:space="0" w:color="FFFFFF"/>
            </w:tcBorders>
            <w:shd w:val="clear" w:color="auto" w:fill="auto"/>
            <w:noWrap/>
            <w:vAlign w:val="bottom"/>
            <w:hideMark/>
          </w:tcPr>
          <w:p w14:paraId="4E1C11B7" w14:textId="77777777" w:rsidR="007940B2" w:rsidRPr="0011239F" w:rsidRDefault="007940B2" w:rsidP="007940B2">
            <w:pPr>
              <w:ind w:firstLineChars="200" w:firstLine="360"/>
              <w:rPr>
                <w:rFonts w:ascii="Arial" w:hAnsi="Arial" w:cs="Arial"/>
                <w:color w:val="000000"/>
                <w:sz w:val="18"/>
                <w:szCs w:val="18"/>
                <w:lang w:eastAsia="en-AU"/>
              </w:rPr>
            </w:pPr>
            <w:r w:rsidRPr="0011239F">
              <w:rPr>
                <w:rFonts w:ascii="Arial" w:hAnsi="Arial" w:cs="Arial"/>
                <w:color w:val="000000"/>
                <w:sz w:val="18"/>
                <w:szCs w:val="18"/>
                <w:lang w:eastAsia="en-AU"/>
              </w:rPr>
              <w:t>Other Receipts</w:t>
            </w:r>
          </w:p>
        </w:tc>
        <w:tc>
          <w:tcPr>
            <w:tcW w:w="616" w:type="pct"/>
            <w:gridSpan w:val="2"/>
            <w:tcBorders>
              <w:top w:val="nil"/>
              <w:left w:val="nil"/>
              <w:bottom w:val="nil"/>
              <w:right w:val="single" w:sz="4" w:space="0" w:color="FFFFFF"/>
            </w:tcBorders>
            <w:shd w:val="clear" w:color="auto" w:fill="auto"/>
            <w:noWrap/>
            <w:vAlign w:val="center"/>
            <w:hideMark/>
          </w:tcPr>
          <w:p w14:paraId="25E0863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6,069</w:t>
            </w:r>
          </w:p>
        </w:tc>
        <w:tc>
          <w:tcPr>
            <w:tcW w:w="616" w:type="pct"/>
            <w:gridSpan w:val="2"/>
            <w:tcBorders>
              <w:top w:val="nil"/>
              <w:left w:val="nil"/>
              <w:bottom w:val="nil"/>
              <w:right w:val="single" w:sz="4" w:space="0" w:color="FFFFFF"/>
            </w:tcBorders>
            <w:shd w:val="clear" w:color="auto" w:fill="auto"/>
            <w:noWrap/>
            <w:vAlign w:val="center"/>
            <w:hideMark/>
          </w:tcPr>
          <w:p w14:paraId="318941D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6,431</w:t>
            </w:r>
          </w:p>
        </w:tc>
        <w:tc>
          <w:tcPr>
            <w:tcW w:w="613" w:type="pct"/>
            <w:tcBorders>
              <w:top w:val="nil"/>
              <w:left w:val="nil"/>
              <w:bottom w:val="nil"/>
              <w:right w:val="single" w:sz="4" w:space="0" w:color="FFFFFF"/>
            </w:tcBorders>
            <w:shd w:val="clear" w:color="auto" w:fill="auto"/>
            <w:noWrap/>
            <w:vAlign w:val="center"/>
            <w:hideMark/>
          </w:tcPr>
          <w:p w14:paraId="79B0DEB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5,916</w:t>
            </w:r>
          </w:p>
        </w:tc>
      </w:tr>
      <w:tr w:rsidR="007940B2" w:rsidRPr="0011239F" w14:paraId="2274B00D" w14:textId="77777777" w:rsidTr="00A11350">
        <w:trPr>
          <w:trHeight w:val="340"/>
        </w:trPr>
        <w:tc>
          <w:tcPr>
            <w:tcW w:w="315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48C73A2" w14:textId="77777777" w:rsidR="007940B2" w:rsidRPr="0011239F" w:rsidRDefault="007940B2" w:rsidP="007940B2">
            <w:pPr>
              <w:ind w:firstLineChars="100" w:firstLine="181"/>
              <w:rPr>
                <w:rFonts w:ascii="Arial" w:hAnsi="Arial" w:cs="Arial"/>
                <w:b/>
                <w:bCs/>
                <w:color w:val="25A9E1"/>
                <w:sz w:val="18"/>
                <w:szCs w:val="18"/>
                <w:lang w:eastAsia="en-AU"/>
              </w:rPr>
            </w:pPr>
            <w:r w:rsidRPr="0011239F">
              <w:rPr>
                <w:rFonts w:ascii="Arial" w:hAnsi="Arial" w:cs="Arial"/>
                <w:b/>
                <w:bCs/>
                <w:color w:val="25A9E1"/>
                <w:sz w:val="18"/>
                <w:szCs w:val="18"/>
                <w:lang w:eastAsia="en-AU"/>
              </w:rPr>
              <w:t>Total Receipts</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B3CCC58"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1,657,682</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678122E"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1,560,655</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675E29C1"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1,780,692</w:t>
            </w:r>
          </w:p>
        </w:tc>
      </w:tr>
      <w:tr w:rsidR="007940B2" w:rsidRPr="0011239F" w14:paraId="4031986D"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71929B84"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Operating Activities</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20650B05"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90,436</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5F64803A"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(61,535)</w:t>
            </w:r>
          </w:p>
        </w:tc>
        <w:tc>
          <w:tcPr>
            <w:tcW w:w="613" w:type="pct"/>
            <w:tcBorders>
              <w:top w:val="nil"/>
              <w:left w:val="nil"/>
              <w:bottom w:val="single" w:sz="4" w:space="0" w:color="auto"/>
              <w:right w:val="single" w:sz="4" w:space="0" w:color="FFFFFF"/>
            </w:tcBorders>
            <w:shd w:val="clear" w:color="auto" w:fill="auto"/>
            <w:noWrap/>
            <w:vAlign w:val="center"/>
            <w:hideMark/>
          </w:tcPr>
          <w:p w14:paraId="2D9820DD"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138,079</w:t>
            </w:r>
          </w:p>
        </w:tc>
      </w:tr>
      <w:tr w:rsidR="007940B2" w:rsidRPr="0011239F" w14:paraId="5E565641"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49B154C7"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Investing Activities</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330E459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458F750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2B89BE4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42E73FD"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137E3FD"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Sale of Property, Plant and Equipment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8323BB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5,245</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A2A07B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60,093</w:t>
            </w:r>
          </w:p>
        </w:tc>
        <w:tc>
          <w:tcPr>
            <w:tcW w:w="613" w:type="pct"/>
            <w:tcBorders>
              <w:top w:val="nil"/>
              <w:left w:val="nil"/>
              <w:bottom w:val="single" w:sz="4" w:space="0" w:color="FFFFFF"/>
              <w:right w:val="single" w:sz="4" w:space="0" w:color="FFFFFF"/>
            </w:tcBorders>
            <w:shd w:val="clear" w:color="auto" w:fill="auto"/>
            <w:noWrap/>
            <w:vAlign w:val="center"/>
            <w:hideMark/>
          </w:tcPr>
          <w:p w14:paraId="4977CE3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0B1224A"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5524753E"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Purchases of Property, Plant and Equipment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72B2BE8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(150,972)</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E448701"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(120,509)</w:t>
            </w:r>
          </w:p>
        </w:tc>
        <w:tc>
          <w:tcPr>
            <w:tcW w:w="613" w:type="pct"/>
            <w:tcBorders>
              <w:top w:val="nil"/>
              <w:left w:val="nil"/>
              <w:bottom w:val="single" w:sz="4" w:space="0" w:color="FFFFFF"/>
              <w:right w:val="single" w:sz="4" w:space="0" w:color="FFFFFF"/>
            </w:tcBorders>
            <w:shd w:val="clear" w:color="auto" w:fill="auto"/>
            <w:noWrap/>
            <w:vAlign w:val="center"/>
            <w:hideMark/>
          </w:tcPr>
          <w:p w14:paraId="35FC074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(96,975)</w:t>
            </w:r>
          </w:p>
        </w:tc>
      </w:tr>
      <w:tr w:rsidR="007940B2" w:rsidRPr="0011239F" w14:paraId="7C57584A"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467D3A63"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Sale of Investments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D35C91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236FA0F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C7EED0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630895E"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DE304AC"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Purchases of Investments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93702A4"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E6D2458"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C182AD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798901D"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6F12C060"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Advances Repayments Received</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3D6B0BED"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EB5500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CCCCB1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FFC6E10"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2DDA96A"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Advances made</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7CB90B2A"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1EE4B48"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DCB014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C4CA18D" w14:textId="77777777" w:rsidTr="003C6E9F">
        <w:trPr>
          <w:trHeight w:val="225"/>
        </w:trPr>
        <w:tc>
          <w:tcPr>
            <w:tcW w:w="3152" w:type="pct"/>
            <w:tcBorders>
              <w:top w:val="nil"/>
              <w:left w:val="single" w:sz="4" w:space="0" w:color="FFFFFF"/>
              <w:bottom w:val="nil"/>
              <w:right w:val="single" w:sz="4" w:space="0" w:color="FFFFFF"/>
            </w:tcBorders>
            <w:shd w:val="clear" w:color="auto" w:fill="auto"/>
            <w:noWrap/>
            <w:vAlign w:val="bottom"/>
            <w:hideMark/>
          </w:tcPr>
          <w:p w14:paraId="521725EA"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Investing</w:t>
            </w:r>
          </w:p>
        </w:tc>
        <w:tc>
          <w:tcPr>
            <w:tcW w:w="616" w:type="pct"/>
            <w:gridSpan w:val="2"/>
            <w:tcBorders>
              <w:top w:val="nil"/>
              <w:left w:val="nil"/>
              <w:bottom w:val="nil"/>
              <w:right w:val="single" w:sz="4" w:space="0" w:color="FFFFFF"/>
            </w:tcBorders>
            <w:shd w:val="clear" w:color="auto" w:fill="auto"/>
            <w:noWrap/>
            <w:vAlign w:val="center"/>
            <w:hideMark/>
          </w:tcPr>
          <w:p w14:paraId="5D16747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(28,515)</w:t>
            </w:r>
          </w:p>
        </w:tc>
        <w:tc>
          <w:tcPr>
            <w:tcW w:w="616" w:type="pct"/>
            <w:gridSpan w:val="2"/>
            <w:tcBorders>
              <w:top w:val="nil"/>
              <w:left w:val="nil"/>
              <w:bottom w:val="nil"/>
              <w:right w:val="single" w:sz="4" w:space="0" w:color="FFFFFF"/>
            </w:tcBorders>
            <w:shd w:val="clear" w:color="auto" w:fill="auto"/>
            <w:noWrap/>
            <w:vAlign w:val="center"/>
            <w:hideMark/>
          </w:tcPr>
          <w:p w14:paraId="41801AF5"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(25,593)</w:t>
            </w:r>
          </w:p>
        </w:tc>
        <w:tc>
          <w:tcPr>
            <w:tcW w:w="613" w:type="pct"/>
            <w:tcBorders>
              <w:top w:val="nil"/>
              <w:left w:val="nil"/>
              <w:bottom w:val="nil"/>
              <w:right w:val="single" w:sz="4" w:space="0" w:color="FFFFFF"/>
            </w:tcBorders>
            <w:shd w:val="clear" w:color="auto" w:fill="auto"/>
            <w:noWrap/>
            <w:vAlign w:val="center"/>
            <w:hideMark/>
          </w:tcPr>
          <w:p w14:paraId="6A96F54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(40,242)</w:t>
            </w:r>
          </w:p>
        </w:tc>
      </w:tr>
      <w:tr w:rsidR="007940B2" w:rsidRPr="0011239F" w14:paraId="5B6DF362" w14:textId="77777777" w:rsidTr="00A11350">
        <w:trPr>
          <w:trHeight w:val="340"/>
        </w:trPr>
        <w:tc>
          <w:tcPr>
            <w:tcW w:w="315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62DE6241"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Investing Activities</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086C551F"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(174,242)</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F0A4341"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(86,009)</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07C2E8E9"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(137,217)</w:t>
            </w:r>
          </w:p>
        </w:tc>
      </w:tr>
      <w:tr w:rsidR="007940B2" w:rsidRPr="0011239F" w14:paraId="0DDF0626"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center"/>
            <w:hideMark/>
          </w:tcPr>
          <w:p w14:paraId="241ECE0B"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Financing Activities</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4CD354D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6" w:type="pct"/>
            <w:gridSpan w:val="2"/>
            <w:tcBorders>
              <w:top w:val="nil"/>
              <w:left w:val="nil"/>
              <w:bottom w:val="single" w:sz="4" w:space="0" w:color="FFFFFF"/>
              <w:right w:val="single" w:sz="4" w:space="0" w:color="FFFFFF"/>
            </w:tcBorders>
            <w:shd w:val="clear" w:color="auto" w:fill="auto"/>
            <w:noWrap/>
            <w:vAlign w:val="bottom"/>
            <w:hideMark/>
          </w:tcPr>
          <w:p w14:paraId="626B6618"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c>
          <w:tcPr>
            <w:tcW w:w="613" w:type="pct"/>
            <w:tcBorders>
              <w:top w:val="nil"/>
              <w:left w:val="nil"/>
              <w:bottom w:val="single" w:sz="4" w:space="0" w:color="FFFFFF"/>
              <w:right w:val="single" w:sz="4" w:space="0" w:color="FFFFFF"/>
            </w:tcBorders>
            <w:shd w:val="clear" w:color="auto" w:fill="auto"/>
            <w:noWrap/>
            <w:vAlign w:val="bottom"/>
            <w:hideMark/>
          </w:tcPr>
          <w:p w14:paraId="4D388F51"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 </w:t>
            </w:r>
          </w:p>
        </w:tc>
      </w:tr>
      <w:tr w:rsidR="007940B2" w:rsidRPr="0011239F" w14:paraId="140EA4A4"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3FFB8C9D"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Proceeds from Borrowings and Advances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304E2E5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2548823"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3FF779F6"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2618C865"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10CEEBFE"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Repayment of Borrowings and Advances</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6D401C8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4F935C28"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634340C6"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(2,282)</w:t>
            </w:r>
          </w:p>
        </w:tc>
      </w:tr>
      <w:tr w:rsidR="007940B2" w:rsidRPr="0011239F" w14:paraId="2A68DE1C"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1FCC83B7"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Dividends Paid</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3E5BFBA"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1FF8F78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D3D797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C8392DB"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141DADE5"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Other Financing</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51A4D5E0"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3BADC83E"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100,000</w:t>
            </w:r>
          </w:p>
        </w:tc>
        <w:tc>
          <w:tcPr>
            <w:tcW w:w="613" w:type="pct"/>
            <w:tcBorders>
              <w:top w:val="nil"/>
              <w:left w:val="nil"/>
              <w:bottom w:val="single" w:sz="4" w:space="0" w:color="FFFFFF"/>
              <w:right w:val="single" w:sz="4" w:space="0" w:color="FFFFFF"/>
            </w:tcBorders>
            <w:shd w:val="clear" w:color="auto" w:fill="auto"/>
            <w:noWrap/>
            <w:vAlign w:val="center"/>
            <w:hideMark/>
          </w:tcPr>
          <w:p w14:paraId="14E7D28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1E04EDC7" w14:textId="77777777" w:rsidTr="003C6E9F">
        <w:trPr>
          <w:trHeight w:val="225"/>
        </w:trPr>
        <w:tc>
          <w:tcPr>
            <w:tcW w:w="3152" w:type="pct"/>
            <w:tcBorders>
              <w:top w:val="nil"/>
              <w:left w:val="single" w:sz="4" w:space="0" w:color="FFFFFF"/>
              <w:bottom w:val="single" w:sz="4" w:space="0" w:color="FFFFFF"/>
              <w:right w:val="single" w:sz="4" w:space="0" w:color="FFFFFF"/>
            </w:tcBorders>
            <w:shd w:val="clear" w:color="auto" w:fill="auto"/>
            <w:noWrap/>
            <w:vAlign w:val="bottom"/>
            <w:hideMark/>
          </w:tcPr>
          <w:p w14:paraId="7EA595ED"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Capital Appropriation - Equity Appropriation</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3175920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single" w:sz="4" w:space="0" w:color="FFFFFF"/>
              <w:right w:val="single" w:sz="4" w:space="0" w:color="FFFFFF"/>
            </w:tcBorders>
            <w:shd w:val="clear" w:color="auto" w:fill="auto"/>
            <w:noWrap/>
            <w:vAlign w:val="center"/>
            <w:hideMark/>
          </w:tcPr>
          <w:p w14:paraId="06708E0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2705A12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382259A8" w14:textId="77777777" w:rsidTr="003C6E9F">
        <w:trPr>
          <w:trHeight w:val="225"/>
        </w:trPr>
        <w:tc>
          <w:tcPr>
            <w:tcW w:w="3152" w:type="pct"/>
            <w:tcBorders>
              <w:top w:val="nil"/>
              <w:left w:val="single" w:sz="4" w:space="0" w:color="FFFFFF"/>
              <w:bottom w:val="nil"/>
              <w:right w:val="single" w:sz="4" w:space="0" w:color="FFFFFF"/>
            </w:tcBorders>
            <w:shd w:val="clear" w:color="auto" w:fill="auto"/>
            <w:noWrap/>
            <w:vAlign w:val="bottom"/>
            <w:hideMark/>
          </w:tcPr>
          <w:p w14:paraId="3E22A823"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Cash Equity Injection to For-Profit Entities</w:t>
            </w:r>
          </w:p>
        </w:tc>
        <w:tc>
          <w:tcPr>
            <w:tcW w:w="616" w:type="pct"/>
            <w:gridSpan w:val="2"/>
            <w:tcBorders>
              <w:top w:val="nil"/>
              <w:left w:val="nil"/>
              <w:bottom w:val="nil"/>
              <w:right w:val="single" w:sz="4" w:space="0" w:color="FFFFFF"/>
            </w:tcBorders>
            <w:shd w:val="clear" w:color="auto" w:fill="auto"/>
            <w:noWrap/>
            <w:vAlign w:val="center"/>
            <w:hideMark/>
          </w:tcPr>
          <w:p w14:paraId="52990D1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nil"/>
              <w:right w:val="single" w:sz="4" w:space="0" w:color="FFFFFF"/>
            </w:tcBorders>
            <w:shd w:val="clear" w:color="auto" w:fill="auto"/>
            <w:noWrap/>
            <w:vAlign w:val="center"/>
            <w:hideMark/>
          </w:tcPr>
          <w:p w14:paraId="54975AE2"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nil"/>
              <w:right w:val="single" w:sz="4" w:space="0" w:color="FFFFFF"/>
            </w:tcBorders>
            <w:shd w:val="clear" w:color="auto" w:fill="auto"/>
            <w:noWrap/>
            <w:vAlign w:val="center"/>
            <w:hideMark/>
          </w:tcPr>
          <w:p w14:paraId="4D8666CB"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58D78A2A" w14:textId="77777777" w:rsidTr="00A11350">
        <w:trPr>
          <w:trHeight w:val="340"/>
        </w:trPr>
        <w:tc>
          <w:tcPr>
            <w:tcW w:w="315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8D648B1"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 xml:space="preserve">Net Cash Flows </w:t>
            </w:r>
            <w:proofErr w:type="gramStart"/>
            <w:r w:rsidRPr="0011239F">
              <w:rPr>
                <w:rFonts w:ascii="Arial" w:hAnsi="Arial" w:cs="Arial"/>
                <w:b/>
                <w:bCs/>
                <w:color w:val="25A9E1"/>
                <w:sz w:val="18"/>
                <w:szCs w:val="18"/>
                <w:lang w:eastAsia="en-AU"/>
              </w:rPr>
              <w:t>From</w:t>
            </w:r>
            <w:proofErr w:type="gramEnd"/>
            <w:r w:rsidRPr="0011239F">
              <w:rPr>
                <w:rFonts w:ascii="Arial" w:hAnsi="Arial" w:cs="Arial"/>
                <w:b/>
                <w:bCs/>
                <w:color w:val="25A9E1"/>
                <w:sz w:val="18"/>
                <w:szCs w:val="18"/>
                <w:lang w:eastAsia="en-AU"/>
              </w:rPr>
              <w:t xml:space="preserve"> Financing Activities</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6FAF6CCA"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7ED6DF4"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100,000</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2AA00B20"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(2,282)</w:t>
            </w:r>
          </w:p>
        </w:tc>
      </w:tr>
      <w:tr w:rsidR="007940B2" w:rsidRPr="0011239F" w14:paraId="3572DF03" w14:textId="77777777" w:rsidTr="00A11350">
        <w:trPr>
          <w:trHeight w:val="340"/>
        </w:trPr>
        <w:tc>
          <w:tcPr>
            <w:tcW w:w="3152" w:type="pct"/>
            <w:tcBorders>
              <w:top w:val="nil"/>
              <w:left w:val="single" w:sz="4" w:space="0" w:color="FFFFFF"/>
              <w:bottom w:val="single" w:sz="4" w:space="0" w:color="auto"/>
              <w:right w:val="single" w:sz="4" w:space="0" w:color="FFFFFF"/>
            </w:tcBorders>
            <w:shd w:val="clear" w:color="auto" w:fill="auto"/>
            <w:noWrap/>
            <w:vAlign w:val="center"/>
            <w:hideMark/>
          </w:tcPr>
          <w:p w14:paraId="5FDC484B"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Net Increase/(Decrease) in Cash</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20CE59B0"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(83,806)</w:t>
            </w:r>
          </w:p>
        </w:tc>
        <w:tc>
          <w:tcPr>
            <w:tcW w:w="616" w:type="pct"/>
            <w:gridSpan w:val="2"/>
            <w:tcBorders>
              <w:top w:val="nil"/>
              <w:left w:val="nil"/>
              <w:bottom w:val="single" w:sz="4" w:space="0" w:color="auto"/>
              <w:right w:val="single" w:sz="4" w:space="0" w:color="FFFFFF"/>
            </w:tcBorders>
            <w:shd w:val="clear" w:color="auto" w:fill="auto"/>
            <w:noWrap/>
            <w:vAlign w:val="center"/>
            <w:hideMark/>
          </w:tcPr>
          <w:p w14:paraId="275372C1"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(47,544)</w:t>
            </w:r>
          </w:p>
        </w:tc>
        <w:tc>
          <w:tcPr>
            <w:tcW w:w="613" w:type="pct"/>
            <w:tcBorders>
              <w:top w:val="nil"/>
              <w:left w:val="nil"/>
              <w:bottom w:val="single" w:sz="4" w:space="0" w:color="auto"/>
              <w:right w:val="single" w:sz="4" w:space="0" w:color="FFFFFF"/>
            </w:tcBorders>
            <w:shd w:val="clear" w:color="auto" w:fill="auto"/>
            <w:noWrap/>
            <w:vAlign w:val="center"/>
            <w:hideMark/>
          </w:tcPr>
          <w:p w14:paraId="47662A55"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(1,420)</w:t>
            </w:r>
          </w:p>
        </w:tc>
      </w:tr>
      <w:tr w:rsidR="007940B2" w:rsidRPr="0011239F" w14:paraId="7673AB90" w14:textId="77777777" w:rsidTr="003C6E9F">
        <w:trPr>
          <w:trHeight w:val="225"/>
        </w:trPr>
        <w:tc>
          <w:tcPr>
            <w:tcW w:w="3152" w:type="pct"/>
            <w:tcBorders>
              <w:top w:val="nil"/>
              <w:left w:val="single" w:sz="4" w:space="0" w:color="FFFFFF"/>
              <w:bottom w:val="nil"/>
              <w:right w:val="single" w:sz="4" w:space="0" w:color="FFFFFF"/>
            </w:tcBorders>
            <w:shd w:val="clear" w:color="auto" w:fill="auto"/>
            <w:noWrap/>
            <w:vAlign w:val="bottom"/>
            <w:hideMark/>
          </w:tcPr>
          <w:p w14:paraId="12E251A8"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Opening Cash and Cash Equivalents</w:t>
            </w:r>
          </w:p>
        </w:tc>
        <w:tc>
          <w:tcPr>
            <w:tcW w:w="616" w:type="pct"/>
            <w:gridSpan w:val="2"/>
            <w:tcBorders>
              <w:top w:val="nil"/>
              <w:left w:val="nil"/>
              <w:bottom w:val="nil"/>
              <w:right w:val="single" w:sz="4" w:space="0" w:color="FFFFFF"/>
            </w:tcBorders>
            <w:shd w:val="clear" w:color="auto" w:fill="auto"/>
            <w:noWrap/>
            <w:vAlign w:val="center"/>
            <w:hideMark/>
          </w:tcPr>
          <w:p w14:paraId="0F634C2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306,643</w:t>
            </w:r>
          </w:p>
        </w:tc>
        <w:tc>
          <w:tcPr>
            <w:tcW w:w="616" w:type="pct"/>
            <w:gridSpan w:val="2"/>
            <w:tcBorders>
              <w:top w:val="nil"/>
              <w:left w:val="nil"/>
              <w:bottom w:val="nil"/>
              <w:right w:val="single" w:sz="4" w:space="0" w:color="FFFFFF"/>
            </w:tcBorders>
            <w:shd w:val="clear" w:color="auto" w:fill="auto"/>
            <w:noWrap/>
            <w:vAlign w:val="center"/>
            <w:hideMark/>
          </w:tcPr>
          <w:p w14:paraId="6F6D883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245,967</w:t>
            </w:r>
          </w:p>
        </w:tc>
        <w:tc>
          <w:tcPr>
            <w:tcW w:w="613" w:type="pct"/>
            <w:tcBorders>
              <w:top w:val="nil"/>
              <w:left w:val="nil"/>
              <w:bottom w:val="nil"/>
              <w:right w:val="single" w:sz="4" w:space="0" w:color="FFFFFF"/>
            </w:tcBorders>
            <w:shd w:val="clear" w:color="auto" w:fill="auto"/>
            <w:noWrap/>
            <w:vAlign w:val="center"/>
            <w:hideMark/>
          </w:tcPr>
          <w:p w14:paraId="580FEFE9"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198,422</w:t>
            </w:r>
          </w:p>
        </w:tc>
      </w:tr>
      <w:tr w:rsidR="007940B2" w:rsidRPr="0011239F" w14:paraId="2D8CEE22" w14:textId="77777777" w:rsidTr="003C6E9F">
        <w:trPr>
          <w:trHeight w:val="225"/>
        </w:trPr>
        <w:tc>
          <w:tcPr>
            <w:tcW w:w="3152"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E899F0F"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Reclassification of Cash Equivalents</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10A7E416"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13E5C71C"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7114299A"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7AF4F9CE" w14:textId="77777777" w:rsidTr="003C6E9F">
        <w:trPr>
          <w:trHeight w:val="225"/>
        </w:trPr>
        <w:tc>
          <w:tcPr>
            <w:tcW w:w="3152" w:type="pct"/>
            <w:tcBorders>
              <w:top w:val="nil"/>
              <w:left w:val="single" w:sz="4" w:space="0" w:color="FFFFFF"/>
              <w:bottom w:val="nil"/>
              <w:right w:val="single" w:sz="4" w:space="0" w:color="FFFFFF"/>
            </w:tcBorders>
            <w:shd w:val="clear" w:color="auto" w:fill="auto"/>
            <w:vAlign w:val="bottom"/>
            <w:hideMark/>
          </w:tcPr>
          <w:p w14:paraId="12986B7E" w14:textId="77777777" w:rsidR="007940B2" w:rsidRPr="0011239F" w:rsidRDefault="007940B2" w:rsidP="007940B2">
            <w:pPr>
              <w:ind w:firstLineChars="100" w:firstLine="180"/>
              <w:rPr>
                <w:rFonts w:ascii="Arial" w:hAnsi="Arial" w:cs="Arial"/>
                <w:color w:val="000000"/>
                <w:sz w:val="18"/>
                <w:szCs w:val="18"/>
                <w:lang w:eastAsia="en-AU"/>
              </w:rPr>
            </w:pPr>
            <w:r w:rsidRPr="0011239F">
              <w:rPr>
                <w:rFonts w:ascii="Arial" w:hAnsi="Arial" w:cs="Arial"/>
                <w:color w:val="000000"/>
                <w:sz w:val="18"/>
                <w:szCs w:val="18"/>
                <w:lang w:eastAsia="en-AU"/>
              </w:rPr>
              <w:t xml:space="preserve">Cash transferred in (out) </w:t>
            </w:r>
            <w:proofErr w:type="gramStart"/>
            <w:r w:rsidRPr="0011239F">
              <w:rPr>
                <w:rFonts w:ascii="Arial" w:hAnsi="Arial" w:cs="Arial"/>
                <w:color w:val="000000"/>
                <w:sz w:val="18"/>
                <w:szCs w:val="18"/>
                <w:lang w:eastAsia="en-AU"/>
              </w:rPr>
              <w:t>as a Result of</w:t>
            </w:r>
            <w:proofErr w:type="gramEnd"/>
            <w:r w:rsidRPr="0011239F">
              <w:rPr>
                <w:rFonts w:ascii="Arial" w:hAnsi="Arial" w:cs="Arial"/>
                <w:color w:val="000000"/>
                <w:sz w:val="18"/>
                <w:szCs w:val="18"/>
                <w:lang w:eastAsia="en-AU"/>
              </w:rPr>
              <w:t xml:space="preserve"> Administrative Restructuring</w:t>
            </w:r>
          </w:p>
        </w:tc>
        <w:tc>
          <w:tcPr>
            <w:tcW w:w="616" w:type="pct"/>
            <w:gridSpan w:val="2"/>
            <w:tcBorders>
              <w:top w:val="nil"/>
              <w:left w:val="nil"/>
              <w:bottom w:val="nil"/>
              <w:right w:val="single" w:sz="4" w:space="0" w:color="FFFFFF"/>
            </w:tcBorders>
            <w:shd w:val="clear" w:color="auto" w:fill="auto"/>
            <w:noWrap/>
            <w:vAlign w:val="center"/>
            <w:hideMark/>
          </w:tcPr>
          <w:p w14:paraId="7C606BC7"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6" w:type="pct"/>
            <w:gridSpan w:val="2"/>
            <w:tcBorders>
              <w:top w:val="nil"/>
              <w:left w:val="nil"/>
              <w:bottom w:val="nil"/>
              <w:right w:val="single" w:sz="4" w:space="0" w:color="FFFFFF"/>
            </w:tcBorders>
            <w:shd w:val="clear" w:color="auto" w:fill="auto"/>
            <w:noWrap/>
            <w:vAlign w:val="center"/>
            <w:hideMark/>
          </w:tcPr>
          <w:p w14:paraId="1A13BB8A"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c>
          <w:tcPr>
            <w:tcW w:w="613" w:type="pct"/>
            <w:tcBorders>
              <w:top w:val="nil"/>
              <w:left w:val="nil"/>
              <w:bottom w:val="nil"/>
              <w:right w:val="single" w:sz="4" w:space="0" w:color="FFFFFF"/>
            </w:tcBorders>
            <w:shd w:val="clear" w:color="auto" w:fill="auto"/>
            <w:noWrap/>
            <w:vAlign w:val="center"/>
            <w:hideMark/>
          </w:tcPr>
          <w:p w14:paraId="020E558F" w14:textId="77777777" w:rsidR="007940B2" w:rsidRPr="0011239F" w:rsidRDefault="007940B2" w:rsidP="007940B2">
            <w:pPr>
              <w:jc w:val="right"/>
              <w:rPr>
                <w:rFonts w:ascii="Arial" w:hAnsi="Arial" w:cs="Arial"/>
                <w:color w:val="000000"/>
                <w:sz w:val="18"/>
                <w:szCs w:val="18"/>
                <w:lang w:eastAsia="en-AU"/>
              </w:rPr>
            </w:pPr>
            <w:r w:rsidRPr="0011239F">
              <w:rPr>
                <w:rFonts w:ascii="Arial" w:hAnsi="Arial" w:cs="Arial"/>
                <w:color w:val="000000"/>
                <w:sz w:val="18"/>
                <w:szCs w:val="18"/>
                <w:lang w:eastAsia="en-AU"/>
              </w:rPr>
              <w:t>...</w:t>
            </w:r>
          </w:p>
        </w:tc>
      </w:tr>
      <w:tr w:rsidR="007940B2" w:rsidRPr="0011239F" w14:paraId="61A15FEC" w14:textId="77777777" w:rsidTr="00A11350">
        <w:trPr>
          <w:trHeight w:val="340"/>
        </w:trPr>
        <w:tc>
          <w:tcPr>
            <w:tcW w:w="315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3205025" w14:textId="77777777" w:rsidR="007940B2" w:rsidRPr="0011239F" w:rsidRDefault="007940B2" w:rsidP="007940B2">
            <w:pPr>
              <w:rPr>
                <w:rFonts w:ascii="Arial" w:hAnsi="Arial" w:cs="Arial"/>
                <w:b/>
                <w:bCs/>
                <w:color w:val="25A9E1"/>
                <w:sz w:val="18"/>
                <w:szCs w:val="18"/>
                <w:lang w:eastAsia="en-AU"/>
              </w:rPr>
            </w:pPr>
            <w:r w:rsidRPr="0011239F">
              <w:rPr>
                <w:rFonts w:ascii="Arial" w:hAnsi="Arial" w:cs="Arial"/>
                <w:b/>
                <w:bCs/>
                <w:color w:val="25A9E1"/>
                <w:sz w:val="18"/>
                <w:szCs w:val="18"/>
                <w:lang w:eastAsia="en-AU"/>
              </w:rPr>
              <w:t>Closing Cash and Cash Equivalents</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9AF7309"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222,837</w:t>
            </w:r>
          </w:p>
        </w:tc>
        <w:tc>
          <w:tcPr>
            <w:tcW w:w="6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4ADCE0B5"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198,422</w:t>
            </w:r>
          </w:p>
        </w:tc>
        <w:tc>
          <w:tcPr>
            <w:tcW w:w="613" w:type="pct"/>
            <w:tcBorders>
              <w:top w:val="single" w:sz="4" w:space="0" w:color="auto"/>
              <w:left w:val="nil"/>
              <w:bottom w:val="single" w:sz="4" w:space="0" w:color="auto"/>
              <w:right w:val="single" w:sz="4" w:space="0" w:color="FFFFFF"/>
            </w:tcBorders>
            <w:shd w:val="clear" w:color="auto" w:fill="auto"/>
            <w:noWrap/>
            <w:vAlign w:val="center"/>
            <w:hideMark/>
          </w:tcPr>
          <w:p w14:paraId="16A561B0" w14:textId="77777777" w:rsidR="007940B2" w:rsidRPr="0011239F" w:rsidRDefault="007940B2" w:rsidP="007940B2">
            <w:pPr>
              <w:jc w:val="right"/>
              <w:rPr>
                <w:rFonts w:ascii="Arial" w:hAnsi="Arial" w:cs="Arial"/>
                <w:b/>
                <w:bCs/>
                <w:color w:val="25A9E1"/>
                <w:sz w:val="18"/>
                <w:szCs w:val="18"/>
                <w:lang w:eastAsia="en-AU"/>
              </w:rPr>
            </w:pPr>
            <w:r w:rsidRPr="0011239F">
              <w:rPr>
                <w:rFonts w:ascii="Arial" w:hAnsi="Arial" w:cs="Arial"/>
                <w:b/>
                <w:bCs/>
                <w:color w:val="25A9E1"/>
                <w:sz w:val="18"/>
                <w:szCs w:val="18"/>
                <w:lang w:eastAsia="en-AU"/>
              </w:rPr>
              <w:t>197,003</w:t>
            </w:r>
          </w:p>
        </w:tc>
      </w:tr>
    </w:tbl>
    <w:p w14:paraId="67FD28A7" w14:textId="2222B019" w:rsidR="000424F7" w:rsidRPr="0011239F" w:rsidRDefault="000424F7" w:rsidP="00E27C10">
      <w:pPr>
        <w:pStyle w:val="ListParagraph"/>
        <w:spacing w:before="360"/>
        <w:ind w:left="405"/>
        <w:rPr>
          <w:rFonts w:cs="Arial"/>
        </w:rPr>
      </w:pPr>
    </w:p>
    <w:sectPr w:rsidR="000424F7" w:rsidRPr="0011239F" w:rsidSect="00383B36">
      <w:headerReference w:type="even" r:id="rId30"/>
      <w:headerReference w:type="default" r:id="rId31"/>
      <w:headerReference w:type="first" r:id="rId32"/>
      <w:footerReference w:type="first" r:id="rId33"/>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44587" w14:textId="77777777" w:rsidR="0099033D" w:rsidRDefault="0099033D">
      <w:r>
        <w:separator/>
      </w:r>
    </w:p>
    <w:p w14:paraId="42EC3312" w14:textId="77777777" w:rsidR="0099033D" w:rsidRDefault="0099033D"/>
  </w:endnote>
  <w:endnote w:type="continuationSeparator" w:id="0">
    <w:p w14:paraId="373CF214" w14:textId="77777777" w:rsidR="0099033D" w:rsidRDefault="0099033D">
      <w:r>
        <w:continuationSeparator/>
      </w:r>
    </w:p>
    <w:p w14:paraId="381FACC7" w14:textId="77777777" w:rsidR="0099033D" w:rsidRDefault="00990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336F" w14:textId="156CE960" w:rsidR="00A71949" w:rsidRDefault="00A71949" w:rsidP="00E27C10">
    <w:pPr>
      <w:pStyle w:val="Footer"/>
      <w:pBdr>
        <w:top w:val="single" w:sz="4" w:space="4" w:color="auto"/>
      </w:pBdr>
      <w:tabs>
        <w:tab w:val="clear" w:pos="7655"/>
        <w:tab w:val="right" w:pos="9639"/>
      </w:tabs>
      <w:rPr>
        <w:szCs w:val="18"/>
      </w:rPr>
    </w:pPr>
    <w:r>
      <w:rPr>
        <w:szCs w:val="18"/>
      </w:rPr>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7C4D52">
      <w:rPr>
        <w:noProof/>
        <w:szCs w:val="18"/>
      </w:rPr>
      <w:t>4</w:t>
    </w:r>
    <w:r w:rsidRPr="00D67CF6">
      <w:rPr>
        <w:szCs w:val="18"/>
      </w:rPr>
      <w:fldChar w:fldCharType="end"/>
    </w:r>
    <w:r>
      <w:rPr>
        <w:szCs w:val="18"/>
      </w:rPr>
      <w:tab/>
    </w:r>
    <w:r w:rsidRPr="00D67CF6">
      <w:rPr>
        <w:szCs w:val="18"/>
      </w:rPr>
      <w:t>Budget Estimates 201</w:t>
    </w:r>
    <w:r>
      <w:rPr>
        <w:szCs w:val="18"/>
      </w:rPr>
      <w:t>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ADEA" w14:textId="0BC5B179" w:rsidR="00A71949" w:rsidRDefault="00A71949" w:rsidP="00E27C10">
    <w:pPr>
      <w:pStyle w:val="Footer"/>
      <w:pBdr>
        <w:top w:val="single" w:sz="4" w:space="4" w:color="auto"/>
      </w:pBdr>
      <w:tabs>
        <w:tab w:val="clear" w:pos="7655"/>
        <w:tab w:val="right" w:pos="9639"/>
      </w:tabs>
      <w:rPr>
        <w:szCs w:val="18"/>
      </w:rPr>
    </w:pPr>
    <w:r w:rsidRPr="00D67CF6">
      <w:rPr>
        <w:szCs w:val="18"/>
      </w:rPr>
      <w:t>Budget Estimates 201</w:t>
    </w:r>
    <w:r>
      <w:rPr>
        <w:szCs w:val="18"/>
      </w:rPr>
      <w:t>9-20</w:t>
    </w:r>
    <w:r>
      <w:rPr>
        <w:szCs w:val="18"/>
      </w:rPr>
      <w:tab/>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7C4D52">
      <w:rPr>
        <w:noProof/>
        <w:szCs w:val="18"/>
      </w:rPr>
      <w:t>5</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6938" w14:textId="3306BEA4" w:rsidR="00A71949" w:rsidRDefault="00A71949" w:rsidP="008D3437">
    <w:pPr>
      <w:pStyle w:val="Footer"/>
      <w:pBdr>
        <w:top w:val="single" w:sz="4" w:space="4" w:color="auto"/>
      </w:pBdr>
      <w:tabs>
        <w:tab w:val="clear" w:pos="7655"/>
        <w:tab w:val="right" w:pos="9639"/>
      </w:tabs>
      <w:rPr>
        <w:szCs w:val="18"/>
      </w:rPr>
    </w:pPr>
    <w:r w:rsidRPr="00D67CF6">
      <w:rPr>
        <w:szCs w:val="18"/>
      </w:rPr>
      <w:t>Budget Estimates 201</w:t>
    </w:r>
    <w:r>
      <w:rPr>
        <w:szCs w:val="18"/>
      </w:rPr>
      <w:t>9-20</w:t>
    </w:r>
    <w:r>
      <w:rPr>
        <w:szCs w:val="18"/>
      </w:rPr>
      <w:tab/>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7C4D52">
      <w:rPr>
        <w:noProof/>
        <w:szCs w:val="18"/>
      </w:rPr>
      <w:t>1</w:t>
    </w:r>
    <w:r w:rsidRPr="00D67CF6">
      <w:rP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90E5" w14:textId="26CB648E" w:rsidR="00A71949" w:rsidRDefault="00A71949" w:rsidP="00E27C10">
    <w:pPr>
      <w:pStyle w:val="Footer"/>
      <w:pBdr>
        <w:top w:val="single" w:sz="4" w:space="4" w:color="auto"/>
      </w:pBdr>
      <w:tabs>
        <w:tab w:val="clear" w:pos="7655"/>
        <w:tab w:val="right" w:pos="9639"/>
      </w:tabs>
      <w:rPr>
        <w:szCs w:val="18"/>
      </w:rPr>
    </w:pPr>
    <w:r>
      <w:rPr>
        <w:szCs w:val="18"/>
      </w:rPr>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7C4D52">
      <w:rPr>
        <w:noProof/>
        <w:szCs w:val="18"/>
      </w:rPr>
      <w:t>6</w:t>
    </w:r>
    <w:r w:rsidRPr="00D67CF6">
      <w:rPr>
        <w:szCs w:val="18"/>
      </w:rPr>
      <w:fldChar w:fldCharType="end"/>
    </w:r>
    <w:r>
      <w:rPr>
        <w:szCs w:val="18"/>
      </w:rPr>
      <w:tab/>
    </w:r>
    <w:r w:rsidRPr="00D67CF6">
      <w:rPr>
        <w:szCs w:val="18"/>
      </w:rPr>
      <w:t>Budget Estimates 201</w:t>
    </w:r>
    <w:r>
      <w:rPr>
        <w:szCs w:val="18"/>
      </w:rPr>
      <w:t>9-20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07549" w14:textId="47551F87" w:rsidR="00A71949" w:rsidRDefault="00A71949" w:rsidP="00E27C10">
    <w:pPr>
      <w:pStyle w:val="Footer"/>
      <w:pBdr>
        <w:top w:val="single" w:sz="4" w:space="4" w:color="auto"/>
      </w:pBdr>
      <w:tabs>
        <w:tab w:val="clear" w:pos="7655"/>
        <w:tab w:val="right" w:pos="9639"/>
      </w:tabs>
      <w:rPr>
        <w:szCs w:val="18"/>
      </w:rPr>
    </w:pPr>
    <w:r w:rsidRPr="00D67CF6">
      <w:rPr>
        <w:szCs w:val="18"/>
      </w:rPr>
      <w:t>Budget Estimates 201</w:t>
    </w:r>
    <w:r>
      <w:rPr>
        <w:szCs w:val="18"/>
      </w:rPr>
      <w:t>9-20</w:t>
    </w:r>
    <w:r>
      <w:rPr>
        <w:szCs w:val="18"/>
      </w:rPr>
      <w:tab/>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7C4D52">
      <w:rPr>
        <w:noProof/>
        <w:szCs w:val="18"/>
      </w:rPr>
      <w:t>9</w:t>
    </w:r>
    <w:r w:rsidRPr="00D67CF6">
      <w:rP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3F51" w14:textId="2563DDFD" w:rsidR="00A71949" w:rsidRDefault="00A71949" w:rsidP="00E27C10">
    <w:pPr>
      <w:pStyle w:val="Footer"/>
      <w:pBdr>
        <w:top w:val="single" w:sz="4" w:space="4" w:color="auto"/>
      </w:pBdr>
      <w:tabs>
        <w:tab w:val="clear" w:pos="7655"/>
        <w:tab w:val="right" w:pos="9639"/>
      </w:tabs>
      <w:rPr>
        <w:szCs w:val="18"/>
      </w:rPr>
    </w:pPr>
    <w:r>
      <w:rPr>
        <w:szCs w:val="18"/>
      </w:rPr>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7C4D52">
      <w:rPr>
        <w:noProof/>
        <w:szCs w:val="18"/>
      </w:rPr>
      <w:t>12</w:t>
    </w:r>
    <w:r w:rsidRPr="00D67CF6">
      <w:rPr>
        <w:szCs w:val="18"/>
      </w:rPr>
      <w:fldChar w:fldCharType="end"/>
    </w:r>
    <w:r>
      <w:rPr>
        <w:szCs w:val="18"/>
      </w:rPr>
      <w:tab/>
    </w:r>
    <w:r w:rsidRPr="00D67CF6">
      <w:rPr>
        <w:szCs w:val="18"/>
      </w:rPr>
      <w:t>Budget Estimates 201</w:t>
    </w:r>
    <w:r>
      <w:rPr>
        <w:szCs w:val="18"/>
      </w:rPr>
      <w:t>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CFC73" w14:textId="77777777" w:rsidR="0099033D" w:rsidRDefault="0099033D">
      <w:pPr>
        <w:spacing w:before="120"/>
      </w:pPr>
      <w:r>
        <w:separator/>
      </w:r>
    </w:p>
    <w:p w14:paraId="61FD9CD2" w14:textId="77777777" w:rsidR="0099033D" w:rsidRDefault="0099033D"/>
  </w:footnote>
  <w:footnote w:type="continuationSeparator" w:id="0">
    <w:p w14:paraId="2304173A" w14:textId="77777777" w:rsidR="0099033D" w:rsidRDefault="0099033D">
      <w:pPr>
        <w:spacing w:before="120"/>
      </w:pPr>
      <w:r>
        <w:continuationSeparator/>
      </w:r>
    </w:p>
    <w:p w14:paraId="6EFBC324" w14:textId="77777777" w:rsidR="0099033D" w:rsidRDefault="0099033D"/>
  </w:footnote>
  <w:footnote w:type="continuationNotice" w:id="1">
    <w:p w14:paraId="289028B3" w14:textId="77777777" w:rsidR="0099033D" w:rsidRDefault="0099033D">
      <w:pPr>
        <w:rPr>
          <w:sz w:val="16"/>
        </w:rPr>
      </w:pPr>
    </w:p>
    <w:p w14:paraId="3D7622CF" w14:textId="77777777" w:rsidR="0099033D" w:rsidRDefault="00990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08C9" w14:textId="2386679B" w:rsidR="00A71949" w:rsidRDefault="00A71949" w:rsidP="00EE0E59">
    <w:pPr>
      <w:pStyle w:val="HeaderHeading"/>
      <w:pageBreakBefore w:val="0"/>
      <w:pBdr>
        <w:bottom w:val="single" w:sz="4" w:space="4" w:color="auto"/>
      </w:pBdr>
    </w:pPr>
    <w:r>
      <w:rPr>
        <w:rFonts w:ascii="Arial" w:hAnsi="Arial"/>
        <w:sz w:val="18"/>
        <w:szCs w:val="18"/>
      </w:rPr>
      <w:t>Education Cluster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CAA6" w14:textId="77777777" w:rsidR="00A71949" w:rsidRDefault="00A71949" w:rsidP="00817089">
    <w:pPr>
      <w:pStyle w:val="HeaderHeading"/>
      <w:pageBreakBefore w:val="0"/>
      <w:pBdr>
        <w:bottom w:val="single" w:sz="4" w:space="4" w:color="auto"/>
      </w:pBdr>
    </w:pPr>
    <w:r>
      <w:rPr>
        <w:rFonts w:ascii="Arial" w:hAnsi="Arial"/>
        <w:sz w:val="18"/>
        <w:szCs w:val="18"/>
      </w:rPr>
      <w:t>TAFE Commission</w:t>
    </w:r>
  </w:p>
  <w:p w14:paraId="58CA0710" w14:textId="77777777" w:rsidR="00A71949" w:rsidRPr="00E27C10" w:rsidRDefault="00A71949" w:rsidP="00E27C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BF36" w14:textId="77777777" w:rsidR="00A71949" w:rsidRDefault="00A71949" w:rsidP="00817089">
    <w:pPr>
      <w:pStyle w:val="HeaderHeading"/>
      <w:pageBreakBefore w:val="0"/>
      <w:pBdr>
        <w:bottom w:val="single" w:sz="4" w:space="4" w:color="auto"/>
      </w:pBdr>
      <w:jc w:val="right"/>
    </w:pPr>
    <w:r>
      <w:rPr>
        <w:rFonts w:ascii="Arial" w:hAnsi="Arial"/>
        <w:sz w:val="18"/>
        <w:szCs w:val="18"/>
      </w:rPr>
      <w:t>TAFE Commission</w:t>
    </w:r>
  </w:p>
  <w:p w14:paraId="13F1E5E5" w14:textId="77777777" w:rsidR="00A71949" w:rsidRDefault="00A71949" w:rsidP="00D961E9">
    <w:pPr>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3F7B" w14:textId="1A3C35A3" w:rsidR="00A71949" w:rsidRDefault="00A71949" w:rsidP="00E27C10">
    <w:pPr>
      <w:pStyle w:val="HeaderHeading"/>
      <w:pageBreakBefore w:val="0"/>
      <w:pBdr>
        <w:bottom w:val="single" w:sz="4" w:space="4" w:color="auto"/>
      </w:pBdr>
    </w:pPr>
    <w:r>
      <w:rPr>
        <w:rFonts w:ascii="Arial" w:hAnsi="Arial"/>
        <w:sz w:val="18"/>
        <w:szCs w:val="18"/>
      </w:rPr>
      <w:t>TAFE Commission</w:t>
    </w:r>
  </w:p>
  <w:p w14:paraId="6021FE57" w14:textId="77777777" w:rsidR="00A71949" w:rsidRPr="00A62927" w:rsidRDefault="00A71949" w:rsidP="00A62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5D54" w14:textId="03231F40" w:rsidR="00A71949" w:rsidRDefault="00A71949" w:rsidP="001B6CED">
    <w:pPr>
      <w:pStyle w:val="HeaderHeading"/>
      <w:pageBreakBefore w:val="0"/>
      <w:pBdr>
        <w:bottom w:val="single" w:sz="4" w:space="4" w:color="auto"/>
      </w:pBdr>
      <w:jc w:val="right"/>
    </w:pPr>
    <w:r>
      <w:rPr>
        <w:rFonts w:ascii="Arial" w:hAnsi="Arial"/>
        <w:sz w:val="18"/>
        <w:szCs w:val="18"/>
      </w:rPr>
      <w:t>Education Cluster</w:t>
    </w:r>
  </w:p>
  <w:p w14:paraId="5DB41157" w14:textId="77777777" w:rsidR="00A71949" w:rsidRDefault="00A71949" w:rsidP="00D961E9">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261A" w14:textId="77777777" w:rsidR="00A71949" w:rsidRPr="00A62927" w:rsidRDefault="00A71949" w:rsidP="00A629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B81A" w14:textId="77777777" w:rsidR="00A71949" w:rsidRDefault="00A71949" w:rsidP="00E27C10">
    <w:pPr>
      <w:pStyle w:val="HeaderHeading"/>
      <w:pageBreakBefore w:val="0"/>
      <w:pBdr>
        <w:bottom w:val="single" w:sz="4" w:space="4" w:color="auto"/>
      </w:pBdr>
    </w:pPr>
    <w:r>
      <w:rPr>
        <w:rFonts w:ascii="Arial" w:hAnsi="Arial"/>
        <w:sz w:val="18"/>
        <w:szCs w:val="18"/>
      </w:rPr>
      <w:t>Department of Education</w:t>
    </w:r>
  </w:p>
  <w:p w14:paraId="1DD3FAF2" w14:textId="684ED8F9" w:rsidR="00A71949" w:rsidRPr="00E27C10" w:rsidRDefault="00A71949" w:rsidP="00E27C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91FF" w14:textId="77777777" w:rsidR="00A71949" w:rsidRDefault="00A71949" w:rsidP="00E27C10">
    <w:pPr>
      <w:pStyle w:val="HeaderHeading"/>
      <w:pageBreakBefore w:val="0"/>
      <w:pBdr>
        <w:bottom w:val="single" w:sz="4" w:space="4" w:color="auto"/>
      </w:pBdr>
      <w:jc w:val="right"/>
    </w:pPr>
    <w:r>
      <w:rPr>
        <w:rFonts w:ascii="Arial" w:hAnsi="Arial"/>
        <w:sz w:val="18"/>
        <w:szCs w:val="18"/>
      </w:rPr>
      <w:t>Department of Education</w:t>
    </w:r>
  </w:p>
  <w:p w14:paraId="52702007" w14:textId="77777777" w:rsidR="00A71949" w:rsidRDefault="00A71949" w:rsidP="00D961E9">
    <w:pP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F95E" w14:textId="512CF63E" w:rsidR="00A71949" w:rsidRDefault="00A71949" w:rsidP="00A62927">
    <w:pPr>
      <w:pStyle w:val="HeaderHeading"/>
      <w:pageBreakBefore w:val="0"/>
      <w:pBdr>
        <w:bottom w:val="single" w:sz="4" w:space="4" w:color="auto"/>
      </w:pBdr>
    </w:pPr>
    <w:r>
      <w:rPr>
        <w:rFonts w:ascii="Arial" w:hAnsi="Arial"/>
        <w:sz w:val="18"/>
        <w:szCs w:val="18"/>
      </w:rPr>
      <w:t>Department of Education</w:t>
    </w:r>
  </w:p>
  <w:p w14:paraId="32AB40E0" w14:textId="77777777" w:rsidR="00A71949" w:rsidRPr="00A62927" w:rsidRDefault="00A71949" w:rsidP="00A629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80B75" w14:textId="77777777" w:rsidR="00A71949" w:rsidRDefault="00A71949" w:rsidP="00E27C10">
    <w:pPr>
      <w:pStyle w:val="HeaderHeading"/>
      <w:pageBreakBefore w:val="0"/>
      <w:pBdr>
        <w:bottom w:val="single" w:sz="4" w:space="4" w:color="auto"/>
      </w:pBdr>
    </w:pPr>
    <w:r>
      <w:rPr>
        <w:rFonts w:ascii="Arial" w:hAnsi="Arial"/>
        <w:sz w:val="18"/>
        <w:szCs w:val="18"/>
      </w:rPr>
      <w:t>NSW Education Standards Authority</w:t>
    </w:r>
  </w:p>
  <w:p w14:paraId="2B62781C" w14:textId="77777777" w:rsidR="00A71949" w:rsidRPr="00E27C10" w:rsidRDefault="00A71949" w:rsidP="00E27C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A8FE" w14:textId="77777777" w:rsidR="00A71949" w:rsidRDefault="00A71949" w:rsidP="00E27C10">
    <w:pPr>
      <w:pStyle w:val="HeaderHeading"/>
      <w:pageBreakBefore w:val="0"/>
      <w:pBdr>
        <w:bottom w:val="single" w:sz="4" w:space="4" w:color="auto"/>
      </w:pBdr>
      <w:jc w:val="right"/>
    </w:pPr>
    <w:r>
      <w:rPr>
        <w:rFonts w:ascii="Arial" w:hAnsi="Arial"/>
        <w:sz w:val="18"/>
        <w:szCs w:val="18"/>
      </w:rPr>
      <w:t>NSW Education Standards Authority</w:t>
    </w:r>
  </w:p>
  <w:p w14:paraId="51ACE76A" w14:textId="77777777" w:rsidR="00A71949" w:rsidRDefault="00A71949" w:rsidP="00D961E9">
    <w:pPr>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331F" w14:textId="597D974D" w:rsidR="00A71949" w:rsidRDefault="00A71949" w:rsidP="00E27C10">
    <w:pPr>
      <w:pStyle w:val="HeaderHeading"/>
      <w:pageBreakBefore w:val="0"/>
      <w:pBdr>
        <w:bottom w:val="single" w:sz="4" w:space="4" w:color="auto"/>
      </w:pBdr>
      <w:jc w:val="right"/>
    </w:pPr>
    <w:r>
      <w:rPr>
        <w:rFonts w:ascii="Arial" w:hAnsi="Arial"/>
        <w:sz w:val="18"/>
        <w:szCs w:val="18"/>
      </w:rPr>
      <w:t>NSW Education Standards Authority</w:t>
    </w:r>
  </w:p>
  <w:p w14:paraId="30F61324" w14:textId="77777777" w:rsidR="00A71949" w:rsidRPr="00A62927" w:rsidRDefault="00A71949" w:rsidP="00A62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BC"/>
    <w:multiLevelType w:val="multilevel"/>
    <w:tmpl w:val="05D4DA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E16F51"/>
    <w:multiLevelType w:val="hybridMultilevel"/>
    <w:tmpl w:val="B34016BE"/>
    <w:lvl w:ilvl="0" w:tplc="7A4ADB24">
      <w:start w:val="1"/>
      <w:numFmt w:val="lowerLetter"/>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3" w15:restartNumberingAfterBreak="0">
    <w:nsid w:val="06940A81"/>
    <w:multiLevelType w:val="hybridMultilevel"/>
    <w:tmpl w:val="0846C43E"/>
    <w:lvl w:ilvl="0" w:tplc="B0543306">
      <w:start w:val="1"/>
      <w:numFmt w:val="lowerLetter"/>
      <w:lvlText w:val="(%1)"/>
      <w:lvlJc w:val="left"/>
      <w:pPr>
        <w:ind w:left="720" w:hanging="360"/>
      </w:pPr>
      <w:rPr>
        <w:rFonts w:ascii="Arial" w:hAnsi="Arial" w:hint="default"/>
        <w:b w:val="0"/>
        <w:i w:val="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05E5D"/>
    <w:multiLevelType w:val="hybridMultilevel"/>
    <w:tmpl w:val="DB9A3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D53B3"/>
    <w:multiLevelType w:val="multilevel"/>
    <w:tmpl w:val="6C6CF0FE"/>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A650CF"/>
    <w:multiLevelType w:val="hybridMultilevel"/>
    <w:tmpl w:val="C368E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EF95BC9"/>
    <w:multiLevelType w:val="hybridMultilevel"/>
    <w:tmpl w:val="CF2C6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BD74FE"/>
    <w:multiLevelType w:val="hybridMultilevel"/>
    <w:tmpl w:val="B3A8C39E"/>
    <w:lvl w:ilvl="0" w:tplc="39CCB5B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F2672D"/>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0C593B"/>
    <w:multiLevelType w:val="hybridMultilevel"/>
    <w:tmpl w:val="51CC8892"/>
    <w:lvl w:ilvl="0" w:tplc="073243DC">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6BC3585"/>
    <w:multiLevelType w:val="hybridMultilevel"/>
    <w:tmpl w:val="D442A3A8"/>
    <w:lvl w:ilvl="0" w:tplc="FDAC5358">
      <w:start w:val="1"/>
      <w:numFmt w:val="bullet"/>
      <w:lvlText w:val=""/>
      <w:lvlJc w:val="left"/>
      <w:pPr>
        <w:ind w:left="360" w:hanging="360"/>
      </w:pPr>
      <w:rPr>
        <w:rFonts w:ascii="Symbol" w:hAnsi="Symbol" w:hint="default"/>
        <w:sz w:val="23"/>
      </w:rPr>
    </w:lvl>
    <w:lvl w:ilvl="1" w:tplc="0C090003">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14" w15:restartNumberingAfterBreak="0">
    <w:nsid w:val="29B25CC9"/>
    <w:multiLevelType w:val="multilevel"/>
    <w:tmpl w:val="F12E35A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A42DC"/>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C10C8"/>
    <w:multiLevelType w:val="hybridMultilevel"/>
    <w:tmpl w:val="D5F6C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073ECB"/>
    <w:multiLevelType w:val="hybridMultilevel"/>
    <w:tmpl w:val="9336FF6E"/>
    <w:lvl w:ilvl="0" w:tplc="A93604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19" w15:restartNumberingAfterBreak="0">
    <w:nsid w:val="41E36164"/>
    <w:multiLevelType w:val="hybridMultilevel"/>
    <w:tmpl w:val="A4A49B2E"/>
    <w:lvl w:ilvl="0" w:tplc="DB7A522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612C1E"/>
    <w:multiLevelType w:val="hybridMultilevel"/>
    <w:tmpl w:val="7B2A9D9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713299"/>
    <w:multiLevelType w:val="hybridMultilevel"/>
    <w:tmpl w:val="9D36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2444A6"/>
    <w:multiLevelType w:val="hybridMultilevel"/>
    <w:tmpl w:val="68A4D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1817678"/>
    <w:multiLevelType w:val="hybridMultilevel"/>
    <w:tmpl w:val="9424D6AC"/>
    <w:lvl w:ilvl="0" w:tplc="86088B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BA68DC"/>
    <w:multiLevelType w:val="hybridMultilevel"/>
    <w:tmpl w:val="1CBEE6D8"/>
    <w:lvl w:ilvl="0" w:tplc="5FB401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83763"/>
    <w:multiLevelType w:val="hybridMultilevel"/>
    <w:tmpl w:val="2C88E706"/>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0" w15:restartNumberingAfterBreak="0">
    <w:nsid w:val="57301A0E"/>
    <w:multiLevelType w:val="multilevel"/>
    <w:tmpl w:val="D6506F8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9961B4F"/>
    <w:multiLevelType w:val="hybridMultilevel"/>
    <w:tmpl w:val="D0BA21A2"/>
    <w:lvl w:ilvl="0" w:tplc="974EF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522501"/>
    <w:multiLevelType w:val="hybridMultilevel"/>
    <w:tmpl w:val="59D81572"/>
    <w:lvl w:ilvl="0" w:tplc="1C86C10C">
      <w:numFmt w:val="bullet"/>
      <w:pStyle w:val="Bullet1"/>
      <w:lvlText w:val="•"/>
      <w:lvlJc w:val="left"/>
      <w:pPr>
        <w:ind w:left="360" w:hanging="360"/>
      </w:pPr>
      <w:rPr>
        <w:rFonts w:ascii="Arial" w:hAnsi="Arial" w:cs="Arial"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447010"/>
    <w:multiLevelType w:val="hybridMultilevel"/>
    <w:tmpl w:val="6CECFF74"/>
    <w:lvl w:ilvl="0" w:tplc="D26C2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D2A93"/>
    <w:multiLevelType w:val="hybridMultilevel"/>
    <w:tmpl w:val="102CB772"/>
    <w:lvl w:ilvl="0" w:tplc="2592AFE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06E41"/>
    <w:multiLevelType w:val="multilevel"/>
    <w:tmpl w:val="E1E6FA60"/>
    <w:lvl w:ilvl="0">
      <w:start w:val="1"/>
      <w:numFmt w:val="bullet"/>
      <w:lvlText w:val="●"/>
      <w:lvlJc w:val="left"/>
      <w:pPr>
        <w:ind w:left="494" w:hanging="360"/>
      </w:pPr>
      <w:rPr>
        <w:rFonts w:ascii="Noto Sans Symbols" w:eastAsia="Noto Sans Symbols" w:hAnsi="Noto Sans Symbols" w:cs="Noto Sans Symbols"/>
      </w:rPr>
    </w:lvl>
    <w:lvl w:ilvl="1">
      <w:start w:val="1"/>
      <w:numFmt w:val="bullet"/>
      <w:lvlText w:val="o"/>
      <w:lvlJc w:val="left"/>
      <w:pPr>
        <w:ind w:left="1214" w:hanging="360"/>
      </w:pPr>
      <w:rPr>
        <w:rFonts w:ascii="Courier New" w:eastAsia="Courier New" w:hAnsi="Courier New" w:cs="Courier New"/>
      </w:rPr>
    </w:lvl>
    <w:lvl w:ilvl="2">
      <w:start w:val="1"/>
      <w:numFmt w:val="bullet"/>
      <w:lvlText w:val="▪"/>
      <w:lvlJc w:val="left"/>
      <w:pPr>
        <w:ind w:left="1934" w:hanging="360"/>
      </w:pPr>
      <w:rPr>
        <w:rFonts w:ascii="Noto Sans Symbols" w:eastAsia="Noto Sans Symbols" w:hAnsi="Noto Sans Symbols" w:cs="Noto Sans Symbols"/>
      </w:rPr>
    </w:lvl>
    <w:lvl w:ilvl="3">
      <w:start w:val="1"/>
      <w:numFmt w:val="bullet"/>
      <w:lvlText w:val="●"/>
      <w:lvlJc w:val="left"/>
      <w:pPr>
        <w:ind w:left="2654" w:hanging="360"/>
      </w:pPr>
      <w:rPr>
        <w:rFonts w:ascii="Noto Sans Symbols" w:eastAsia="Noto Sans Symbols" w:hAnsi="Noto Sans Symbols" w:cs="Noto Sans Symbols"/>
      </w:rPr>
    </w:lvl>
    <w:lvl w:ilvl="4">
      <w:start w:val="1"/>
      <w:numFmt w:val="bullet"/>
      <w:lvlText w:val="o"/>
      <w:lvlJc w:val="left"/>
      <w:pPr>
        <w:ind w:left="3374" w:hanging="360"/>
      </w:pPr>
      <w:rPr>
        <w:rFonts w:ascii="Courier New" w:eastAsia="Courier New" w:hAnsi="Courier New" w:cs="Courier New"/>
      </w:rPr>
    </w:lvl>
    <w:lvl w:ilvl="5">
      <w:start w:val="1"/>
      <w:numFmt w:val="bullet"/>
      <w:lvlText w:val="▪"/>
      <w:lvlJc w:val="left"/>
      <w:pPr>
        <w:ind w:left="4094" w:hanging="360"/>
      </w:pPr>
      <w:rPr>
        <w:rFonts w:ascii="Noto Sans Symbols" w:eastAsia="Noto Sans Symbols" w:hAnsi="Noto Sans Symbols" w:cs="Noto Sans Symbols"/>
      </w:rPr>
    </w:lvl>
    <w:lvl w:ilvl="6">
      <w:start w:val="1"/>
      <w:numFmt w:val="bullet"/>
      <w:lvlText w:val="●"/>
      <w:lvlJc w:val="left"/>
      <w:pPr>
        <w:ind w:left="4814" w:hanging="360"/>
      </w:pPr>
      <w:rPr>
        <w:rFonts w:ascii="Noto Sans Symbols" w:eastAsia="Noto Sans Symbols" w:hAnsi="Noto Sans Symbols" w:cs="Noto Sans Symbols"/>
      </w:rPr>
    </w:lvl>
    <w:lvl w:ilvl="7">
      <w:start w:val="1"/>
      <w:numFmt w:val="bullet"/>
      <w:lvlText w:val="o"/>
      <w:lvlJc w:val="left"/>
      <w:pPr>
        <w:ind w:left="5534" w:hanging="360"/>
      </w:pPr>
      <w:rPr>
        <w:rFonts w:ascii="Courier New" w:eastAsia="Courier New" w:hAnsi="Courier New" w:cs="Courier New"/>
      </w:rPr>
    </w:lvl>
    <w:lvl w:ilvl="8">
      <w:start w:val="1"/>
      <w:numFmt w:val="bullet"/>
      <w:lvlText w:val="▪"/>
      <w:lvlJc w:val="left"/>
      <w:pPr>
        <w:ind w:left="6254" w:hanging="360"/>
      </w:pPr>
      <w:rPr>
        <w:rFonts w:ascii="Noto Sans Symbols" w:eastAsia="Noto Sans Symbols" w:hAnsi="Noto Sans Symbols" w:cs="Noto Sans Symbols"/>
      </w:rPr>
    </w:lvl>
  </w:abstractNum>
  <w:abstractNum w:abstractNumId="36" w15:restartNumberingAfterBreak="0">
    <w:nsid w:val="64E75030"/>
    <w:multiLevelType w:val="hybridMultilevel"/>
    <w:tmpl w:val="B7526CCA"/>
    <w:lvl w:ilvl="0" w:tplc="57B07B18">
      <w:start w:val="1"/>
      <w:numFmt w:val="decimal"/>
      <w:pStyle w:val="Heading2"/>
      <w:lvlText w:val="2.%1"/>
      <w:lvlJc w:val="left"/>
      <w:pPr>
        <w:ind w:left="360" w:hanging="360"/>
      </w:pPr>
      <w:rPr>
        <w:rFonts w:ascii="Arial Bold" w:hAnsi="Arial Bold" w:hint="default"/>
        <w:b/>
        <w:i w:val="0"/>
        <w:caps w:val="0"/>
        <w:color w:val="25A9E1"/>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A50B81"/>
    <w:multiLevelType w:val="hybridMultilevel"/>
    <w:tmpl w:val="85FA4774"/>
    <w:lvl w:ilvl="0" w:tplc="36EEC2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B1EFF"/>
    <w:multiLevelType w:val="hybridMultilevel"/>
    <w:tmpl w:val="993878E6"/>
    <w:lvl w:ilvl="0" w:tplc="96048AF2">
      <w:start w:val="1"/>
      <w:numFmt w:val="decimal"/>
      <w:pStyle w:val="Chart21"/>
      <w:lvlText w:val="Chart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4A1450"/>
    <w:multiLevelType w:val="multilevel"/>
    <w:tmpl w:val="D7741CA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8DB3DB8"/>
    <w:multiLevelType w:val="hybridMultilevel"/>
    <w:tmpl w:val="56B843CA"/>
    <w:lvl w:ilvl="0" w:tplc="79BC87E8">
      <w:start w:val="1"/>
      <w:numFmt w:val="lowerLetter"/>
      <w:lvlText w:val="(%1)"/>
      <w:lvlJc w:val="left"/>
      <w:pPr>
        <w:ind w:left="360" w:hanging="360"/>
      </w:pPr>
      <w:rPr>
        <w:rFonts w:cs="Arial" w:hint="default"/>
        <w:sz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0E5737"/>
    <w:multiLevelType w:val="hybridMultilevel"/>
    <w:tmpl w:val="1C3A4960"/>
    <w:lvl w:ilvl="0" w:tplc="4B2AFB1A">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A60921"/>
    <w:multiLevelType w:val="hybridMultilevel"/>
    <w:tmpl w:val="C430E536"/>
    <w:lvl w:ilvl="0" w:tplc="0C090001">
      <w:start w:val="1"/>
      <w:numFmt w:val="bullet"/>
      <w:lvlText w:val=""/>
      <w:lvlJc w:val="left"/>
      <w:pPr>
        <w:ind w:left="4122" w:hanging="360"/>
      </w:pPr>
      <w:rPr>
        <w:rFonts w:ascii="Symbol" w:hAnsi="Symbol" w:hint="default"/>
      </w:rPr>
    </w:lvl>
    <w:lvl w:ilvl="1" w:tplc="0C090003">
      <w:start w:val="1"/>
      <w:numFmt w:val="bullet"/>
      <w:lvlText w:val="o"/>
      <w:lvlJc w:val="left"/>
      <w:pPr>
        <w:ind w:left="4842" w:hanging="360"/>
      </w:pPr>
      <w:rPr>
        <w:rFonts w:ascii="Courier New" w:hAnsi="Courier New" w:cs="Courier New" w:hint="default"/>
      </w:rPr>
    </w:lvl>
    <w:lvl w:ilvl="2" w:tplc="0C090005">
      <w:start w:val="1"/>
      <w:numFmt w:val="bullet"/>
      <w:lvlText w:val=""/>
      <w:lvlJc w:val="left"/>
      <w:pPr>
        <w:ind w:left="5562" w:hanging="360"/>
      </w:pPr>
      <w:rPr>
        <w:rFonts w:ascii="Wingdings" w:hAnsi="Wingdings" w:hint="default"/>
      </w:rPr>
    </w:lvl>
    <w:lvl w:ilvl="3" w:tplc="0C090001">
      <w:start w:val="1"/>
      <w:numFmt w:val="bullet"/>
      <w:lvlText w:val=""/>
      <w:lvlJc w:val="left"/>
      <w:pPr>
        <w:ind w:left="6282" w:hanging="360"/>
      </w:pPr>
      <w:rPr>
        <w:rFonts w:ascii="Symbol" w:hAnsi="Symbol" w:hint="default"/>
      </w:rPr>
    </w:lvl>
    <w:lvl w:ilvl="4" w:tplc="0C090003">
      <w:start w:val="1"/>
      <w:numFmt w:val="bullet"/>
      <w:lvlText w:val="o"/>
      <w:lvlJc w:val="left"/>
      <w:pPr>
        <w:ind w:left="7002" w:hanging="360"/>
      </w:pPr>
      <w:rPr>
        <w:rFonts w:ascii="Courier New" w:hAnsi="Courier New" w:cs="Courier New" w:hint="default"/>
      </w:rPr>
    </w:lvl>
    <w:lvl w:ilvl="5" w:tplc="0C090005">
      <w:start w:val="1"/>
      <w:numFmt w:val="bullet"/>
      <w:lvlText w:val=""/>
      <w:lvlJc w:val="left"/>
      <w:pPr>
        <w:ind w:left="7722" w:hanging="360"/>
      </w:pPr>
      <w:rPr>
        <w:rFonts w:ascii="Wingdings" w:hAnsi="Wingdings" w:hint="default"/>
      </w:rPr>
    </w:lvl>
    <w:lvl w:ilvl="6" w:tplc="0C090001">
      <w:start w:val="1"/>
      <w:numFmt w:val="bullet"/>
      <w:lvlText w:val=""/>
      <w:lvlJc w:val="left"/>
      <w:pPr>
        <w:ind w:left="8442" w:hanging="360"/>
      </w:pPr>
      <w:rPr>
        <w:rFonts w:ascii="Symbol" w:hAnsi="Symbol" w:hint="default"/>
      </w:rPr>
    </w:lvl>
    <w:lvl w:ilvl="7" w:tplc="0C090003">
      <w:start w:val="1"/>
      <w:numFmt w:val="bullet"/>
      <w:lvlText w:val="o"/>
      <w:lvlJc w:val="left"/>
      <w:pPr>
        <w:ind w:left="9162" w:hanging="360"/>
      </w:pPr>
      <w:rPr>
        <w:rFonts w:ascii="Courier New" w:hAnsi="Courier New" w:cs="Courier New" w:hint="default"/>
      </w:rPr>
    </w:lvl>
    <w:lvl w:ilvl="8" w:tplc="0C090005">
      <w:start w:val="1"/>
      <w:numFmt w:val="bullet"/>
      <w:lvlText w:val=""/>
      <w:lvlJc w:val="left"/>
      <w:pPr>
        <w:ind w:left="9882" w:hanging="360"/>
      </w:pPr>
      <w:rPr>
        <w:rFonts w:ascii="Wingdings" w:hAnsi="Wingdings" w:hint="default"/>
      </w:rPr>
    </w:lvl>
  </w:abstractNum>
  <w:abstractNum w:abstractNumId="44" w15:restartNumberingAfterBreak="0">
    <w:nsid w:val="7C661EEE"/>
    <w:multiLevelType w:val="hybridMultilevel"/>
    <w:tmpl w:val="1E423150"/>
    <w:lvl w:ilvl="0" w:tplc="1B0041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9E4F96"/>
    <w:multiLevelType w:val="hybridMultilevel"/>
    <w:tmpl w:val="F064B494"/>
    <w:lvl w:ilvl="0" w:tplc="265059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13"/>
  </w:num>
  <w:num w:numId="3">
    <w:abstractNumId w:val="28"/>
  </w:num>
  <w:num w:numId="4">
    <w:abstractNumId w:val="2"/>
  </w:num>
  <w:num w:numId="5">
    <w:abstractNumId w:val="18"/>
  </w:num>
  <w:num w:numId="6">
    <w:abstractNumId w:val="37"/>
  </w:num>
  <w:num w:numId="7">
    <w:abstractNumId w:val="5"/>
  </w:num>
  <w:num w:numId="8">
    <w:abstractNumId w:val="8"/>
  </w:num>
  <w:num w:numId="9">
    <w:abstractNumId w:val="25"/>
  </w:num>
  <w:num w:numId="10">
    <w:abstractNumId w:val="1"/>
  </w:num>
  <w:num w:numId="11">
    <w:abstractNumId w:val="40"/>
  </w:num>
  <w:num w:numId="12">
    <w:abstractNumId w:val="6"/>
  </w:num>
  <w:num w:numId="13">
    <w:abstractNumId w:val="4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7"/>
  </w:num>
  <w:num w:numId="17">
    <w:abstractNumId w:val="11"/>
  </w:num>
  <w:num w:numId="18">
    <w:abstractNumId w:val="15"/>
  </w:num>
  <w:num w:numId="19">
    <w:abstractNumId w:val="42"/>
  </w:num>
  <w:num w:numId="20">
    <w:abstractNumId w:val="38"/>
  </w:num>
  <w:num w:numId="21">
    <w:abstractNumId w:val="3"/>
  </w:num>
  <w:num w:numId="22">
    <w:abstractNumId w:val="36"/>
  </w:num>
  <w:num w:numId="23">
    <w:abstractNumId w:val="36"/>
  </w:num>
  <w:num w:numId="24">
    <w:abstractNumId w:val="4"/>
  </w:num>
  <w:num w:numId="25">
    <w:abstractNumId w:val="13"/>
  </w:num>
  <w:num w:numId="26">
    <w:abstractNumId w:val="30"/>
  </w:num>
  <w:num w:numId="27">
    <w:abstractNumId w:val="12"/>
  </w:num>
  <w:num w:numId="28">
    <w:abstractNumId w:val="9"/>
  </w:num>
  <w:num w:numId="29">
    <w:abstractNumId w:val="20"/>
  </w:num>
  <w:num w:numId="30">
    <w:abstractNumId w:val="21"/>
  </w:num>
  <w:num w:numId="31">
    <w:abstractNumId w:val="13"/>
  </w:num>
  <w:num w:numId="32">
    <w:abstractNumId w:val="13"/>
  </w:num>
  <w:num w:numId="33">
    <w:abstractNumId w:val="0"/>
  </w:num>
  <w:num w:numId="34">
    <w:abstractNumId w:val="13"/>
  </w:num>
  <w:num w:numId="35">
    <w:abstractNumId w:val="14"/>
  </w:num>
  <w:num w:numId="36">
    <w:abstractNumId w:val="34"/>
  </w:num>
  <w:num w:numId="37">
    <w:abstractNumId w:val="19"/>
  </w:num>
  <w:num w:numId="38">
    <w:abstractNumId w:val="44"/>
  </w:num>
  <w:num w:numId="39">
    <w:abstractNumId w:val="35"/>
  </w:num>
  <w:num w:numId="40">
    <w:abstractNumId w:val="34"/>
  </w:num>
  <w:num w:numId="41">
    <w:abstractNumId w:val="34"/>
  </w:num>
  <w:num w:numId="42">
    <w:abstractNumId w:val="45"/>
  </w:num>
  <w:num w:numId="43">
    <w:abstractNumId w:val="33"/>
  </w:num>
  <w:num w:numId="44">
    <w:abstractNumId w:val="24"/>
  </w:num>
  <w:num w:numId="45">
    <w:abstractNumId w:val="7"/>
  </w:num>
  <w:num w:numId="46">
    <w:abstractNumId w:val="33"/>
  </w:num>
  <w:num w:numId="47">
    <w:abstractNumId w:val="26"/>
  </w:num>
  <w:num w:numId="48">
    <w:abstractNumId w:val="16"/>
  </w:num>
  <w:num w:numId="49">
    <w:abstractNumId w:val="31"/>
  </w:num>
  <w:num w:numId="50">
    <w:abstractNumId w:val="27"/>
  </w:num>
  <w:num w:numId="51">
    <w:abstractNumId w:val="23"/>
  </w:num>
  <w:num w:numId="52">
    <w:abstractNumId w:val="32"/>
  </w:num>
  <w:num w:numId="53">
    <w:abstractNumId w:val="28"/>
  </w:num>
  <w:num w:numId="54">
    <w:abstractNumId w:val="39"/>
  </w:num>
  <w:num w:numId="55">
    <w:abstractNumId w:val="22"/>
  </w:num>
  <w:num w:numId="56">
    <w:abstractNumId w:val="29"/>
  </w:num>
  <w:num w:numId="57">
    <w:abstractNumId w:val="32"/>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36"/>
  </w:num>
  <w:num w:numId="65">
    <w:abstractNumId w:val="36"/>
  </w:num>
  <w:num w:numId="66">
    <w:abstractNumId w:val="36"/>
  </w:num>
  <w:num w:numId="67">
    <w:abstractNumId w:val="36"/>
  </w:num>
  <w:num w:numId="68">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153D"/>
    <w:rsid w:val="00001D87"/>
    <w:rsid w:val="00004BD4"/>
    <w:rsid w:val="0000557E"/>
    <w:rsid w:val="000055A4"/>
    <w:rsid w:val="0000563D"/>
    <w:rsid w:val="00006107"/>
    <w:rsid w:val="000062D8"/>
    <w:rsid w:val="00006B98"/>
    <w:rsid w:val="00006BD9"/>
    <w:rsid w:val="00010048"/>
    <w:rsid w:val="000103C4"/>
    <w:rsid w:val="00010B2D"/>
    <w:rsid w:val="00010F5D"/>
    <w:rsid w:val="00011030"/>
    <w:rsid w:val="00011C2E"/>
    <w:rsid w:val="00012B44"/>
    <w:rsid w:val="00012BB1"/>
    <w:rsid w:val="0001360B"/>
    <w:rsid w:val="00013613"/>
    <w:rsid w:val="000150E7"/>
    <w:rsid w:val="00020181"/>
    <w:rsid w:val="000204FE"/>
    <w:rsid w:val="00020567"/>
    <w:rsid w:val="00022027"/>
    <w:rsid w:val="00022724"/>
    <w:rsid w:val="000228E6"/>
    <w:rsid w:val="00022AB7"/>
    <w:rsid w:val="000230DC"/>
    <w:rsid w:val="00023A22"/>
    <w:rsid w:val="00025CCE"/>
    <w:rsid w:val="00026EA6"/>
    <w:rsid w:val="000275F2"/>
    <w:rsid w:val="00027D94"/>
    <w:rsid w:val="000300E6"/>
    <w:rsid w:val="000301C5"/>
    <w:rsid w:val="0003042F"/>
    <w:rsid w:val="00030A12"/>
    <w:rsid w:val="00030D3A"/>
    <w:rsid w:val="00032E2B"/>
    <w:rsid w:val="000344F7"/>
    <w:rsid w:val="00035D0A"/>
    <w:rsid w:val="00037A05"/>
    <w:rsid w:val="00041374"/>
    <w:rsid w:val="00042055"/>
    <w:rsid w:val="000424F7"/>
    <w:rsid w:val="00042507"/>
    <w:rsid w:val="0004262B"/>
    <w:rsid w:val="00042BD7"/>
    <w:rsid w:val="000434CD"/>
    <w:rsid w:val="00043A88"/>
    <w:rsid w:val="000448F2"/>
    <w:rsid w:val="00045719"/>
    <w:rsid w:val="00046271"/>
    <w:rsid w:val="00046A93"/>
    <w:rsid w:val="00046C09"/>
    <w:rsid w:val="00047CBC"/>
    <w:rsid w:val="00047D16"/>
    <w:rsid w:val="00047DF5"/>
    <w:rsid w:val="00050511"/>
    <w:rsid w:val="00050C23"/>
    <w:rsid w:val="00051133"/>
    <w:rsid w:val="00052403"/>
    <w:rsid w:val="0005266A"/>
    <w:rsid w:val="000536FD"/>
    <w:rsid w:val="000549F3"/>
    <w:rsid w:val="00055237"/>
    <w:rsid w:val="0005622F"/>
    <w:rsid w:val="00056ACB"/>
    <w:rsid w:val="00056CBE"/>
    <w:rsid w:val="00057B99"/>
    <w:rsid w:val="00057BE1"/>
    <w:rsid w:val="00060225"/>
    <w:rsid w:val="000604F4"/>
    <w:rsid w:val="00060BF4"/>
    <w:rsid w:val="0006267A"/>
    <w:rsid w:val="00062CCB"/>
    <w:rsid w:val="00062DA6"/>
    <w:rsid w:val="00063D75"/>
    <w:rsid w:val="0006478A"/>
    <w:rsid w:val="00065C91"/>
    <w:rsid w:val="000670F4"/>
    <w:rsid w:val="000678FF"/>
    <w:rsid w:val="00070515"/>
    <w:rsid w:val="00071468"/>
    <w:rsid w:val="000717AB"/>
    <w:rsid w:val="000728E2"/>
    <w:rsid w:val="00072E0C"/>
    <w:rsid w:val="00073F5D"/>
    <w:rsid w:val="00074F5B"/>
    <w:rsid w:val="0007521D"/>
    <w:rsid w:val="000754C4"/>
    <w:rsid w:val="00075D2D"/>
    <w:rsid w:val="00075D94"/>
    <w:rsid w:val="000766BD"/>
    <w:rsid w:val="0007684A"/>
    <w:rsid w:val="000768C4"/>
    <w:rsid w:val="00076C61"/>
    <w:rsid w:val="000804CB"/>
    <w:rsid w:val="00080650"/>
    <w:rsid w:val="00080E92"/>
    <w:rsid w:val="00082BCE"/>
    <w:rsid w:val="000836AF"/>
    <w:rsid w:val="00083807"/>
    <w:rsid w:val="000841A9"/>
    <w:rsid w:val="000841C3"/>
    <w:rsid w:val="000844A8"/>
    <w:rsid w:val="0008460F"/>
    <w:rsid w:val="000846F6"/>
    <w:rsid w:val="00084BE5"/>
    <w:rsid w:val="00084F97"/>
    <w:rsid w:val="0008585A"/>
    <w:rsid w:val="00085C4D"/>
    <w:rsid w:val="00085DC0"/>
    <w:rsid w:val="00085DE5"/>
    <w:rsid w:val="00085F0A"/>
    <w:rsid w:val="00086F9C"/>
    <w:rsid w:val="00087B24"/>
    <w:rsid w:val="00090223"/>
    <w:rsid w:val="000902B2"/>
    <w:rsid w:val="00090B97"/>
    <w:rsid w:val="0009106A"/>
    <w:rsid w:val="000910E0"/>
    <w:rsid w:val="00091A1E"/>
    <w:rsid w:val="000942C8"/>
    <w:rsid w:val="000944C8"/>
    <w:rsid w:val="00094E99"/>
    <w:rsid w:val="00094F44"/>
    <w:rsid w:val="0009586B"/>
    <w:rsid w:val="000958E7"/>
    <w:rsid w:val="000961BC"/>
    <w:rsid w:val="00096747"/>
    <w:rsid w:val="000971D0"/>
    <w:rsid w:val="000972B9"/>
    <w:rsid w:val="00097AD6"/>
    <w:rsid w:val="00097B2F"/>
    <w:rsid w:val="00097BB5"/>
    <w:rsid w:val="000A0984"/>
    <w:rsid w:val="000A0FB2"/>
    <w:rsid w:val="000A191C"/>
    <w:rsid w:val="000A1B83"/>
    <w:rsid w:val="000A2F22"/>
    <w:rsid w:val="000A35A1"/>
    <w:rsid w:val="000A447E"/>
    <w:rsid w:val="000A4799"/>
    <w:rsid w:val="000A4DEA"/>
    <w:rsid w:val="000A53AE"/>
    <w:rsid w:val="000A5DF6"/>
    <w:rsid w:val="000A6E33"/>
    <w:rsid w:val="000A7C28"/>
    <w:rsid w:val="000B00B7"/>
    <w:rsid w:val="000B0292"/>
    <w:rsid w:val="000B0683"/>
    <w:rsid w:val="000B0762"/>
    <w:rsid w:val="000B2082"/>
    <w:rsid w:val="000B2632"/>
    <w:rsid w:val="000B4B0F"/>
    <w:rsid w:val="000B4F67"/>
    <w:rsid w:val="000B50E9"/>
    <w:rsid w:val="000B50FC"/>
    <w:rsid w:val="000B53EB"/>
    <w:rsid w:val="000B54D1"/>
    <w:rsid w:val="000B6504"/>
    <w:rsid w:val="000B6CC5"/>
    <w:rsid w:val="000B6EEF"/>
    <w:rsid w:val="000C0405"/>
    <w:rsid w:val="000C0832"/>
    <w:rsid w:val="000C0935"/>
    <w:rsid w:val="000C17F9"/>
    <w:rsid w:val="000C240A"/>
    <w:rsid w:val="000C243C"/>
    <w:rsid w:val="000C2B91"/>
    <w:rsid w:val="000C2BAC"/>
    <w:rsid w:val="000C3E98"/>
    <w:rsid w:val="000C404A"/>
    <w:rsid w:val="000C4B22"/>
    <w:rsid w:val="000C57C1"/>
    <w:rsid w:val="000C5952"/>
    <w:rsid w:val="000C6F21"/>
    <w:rsid w:val="000C7F0B"/>
    <w:rsid w:val="000D011C"/>
    <w:rsid w:val="000D0187"/>
    <w:rsid w:val="000D06DE"/>
    <w:rsid w:val="000D1E93"/>
    <w:rsid w:val="000D210D"/>
    <w:rsid w:val="000D2202"/>
    <w:rsid w:val="000D33F3"/>
    <w:rsid w:val="000D593A"/>
    <w:rsid w:val="000D5C19"/>
    <w:rsid w:val="000D75BF"/>
    <w:rsid w:val="000E058B"/>
    <w:rsid w:val="000E0CE7"/>
    <w:rsid w:val="000E25FA"/>
    <w:rsid w:val="000E2633"/>
    <w:rsid w:val="000E2640"/>
    <w:rsid w:val="000E3A08"/>
    <w:rsid w:val="000E3FC9"/>
    <w:rsid w:val="000E67BC"/>
    <w:rsid w:val="000E7FD4"/>
    <w:rsid w:val="000F01DC"/>
    <w:rsid w:val="000F0237"/>
    <w:rsid w:val="000F026C"/>
    <w:rsid w:val="000F0402"/>
    <w:rsid w:val="000F1305"/>
    <w:rsid w:val="000F3C82"/>
    <w:rsid w:val="000F4519"/>
    <w:rsid w:val="00100311"/>
    <w:rsid w:val="00100E58"/>
    <w:rsid w:val="0010109B"/>
    <w:rsid w:val="00101DC4"/>
    <w:rsid w:val="0010290E"/>
    <w:rsid w:val="001046CE"/>
    <w:rsid w:val="001056E3"/>
    <w:rsid w:val="00105C6C"/>
    <w:rsid w:val="00105DC5"/>
    <w:rsid w:val="00105F59"/>
    <w:rsid w:val="00107CFB"/>
    <w:rsid w:val="00111328"/>
    <w:rsid w:val="00111430"/>
    <w:rsid w:val="001116FF"/>
    <w:rsid w:val="00112096"/>
    <w:rsid w:val="0011239F"/>
    <w:rsid w:val="001128C8"/>
    <w:rsid w:val="001136B5"/>
    <w:rsid w:val="001169D2"/>
    <w:rsid w:val="00117307"/>
    <w:rsid w:val="00120F46"/>
    <w:rsid w:val="001214B6"/>
    <w:rsid w:val="001215F7"/>
    <w:rsid w:val="001221C8"/>
    <w:rsid w:val="001221EB"/>
    <w:rsid w:val="00122506"/>
    <w:rsid w:val="001235CC"/>
    <w:rsid w:val="001243F8"/>
    <w:rsid w:val="00124E5A"/>
    <w:rsid w:val="0012537E"/>
    <w:rsid w:val="00125E8A"/>
    <w:rsid w:val="00125F61"/>
    <w:rsid w:val="00130384"/>
    <w:rsid w:val="00130624"/>
    <w:rsid w:val="001311B8"/>
    <w:rsid w:val="0013163F"/>
    <w:rsid w:val="001326D1"/>
    <w:rsid w:val="00132908"/>
    <w:rsid w:val="00132949"/>
    <w:rsid w:val="00132E3E"/>
    <w:rsid w:val="001333B3"/>
    <w:rsid w:val="001342B5"/>
    <w:rsid w:val="0013613E"/>
    <w:rsid w:val="00136486"/>
    <w:rsid w:val="00136629"/>
    <w:rsid w:val="00136DCF"/>
    <w:rsid w:val="0013739A"/>
    <w:rsid w:val="00137483"/>
    <w:rsid w:val="0013769F"/>
    <w:rsid w:val="00140766"/>
    <w:rsid w:val="00144D5B"/>
    <w:rsid w:val="00147B34"/>
    <w:rsid w:val="00150B1C"/>
    <w:rsid w:val="001510BF"/>
    <w:rsid w:val="00151102"/>
    <w:rsid w:val="001519BF"/>
    <w:rsid w:val="00152205"/>
    <w:rsid w:val="00152C05"/>
    <w:rsid w:val="00153F5F"/>
    <w:rsid w:val="00153FE8"/>
    <w:rsid w:val="0015414B"/>
    <w:rsid w:val="00156821"/>
    <w:rsid w:val="00157603"/>
    <w:rsid w:val="001578B5"/>
    <w:rsid w:val="00161C47"/>
    <w:rsid w:val="00162419"/>
    <w:rsid w:val="00162C96"/>
    <w:rsid w:val="00163106"/>
    <w:rsid w:val="001632C9"/>
    <w:rsid w:val="001632D2"/>
    <w:rsid w:val="001636DC"/>
    <w:rsid w:val="00165289"/>
    <w:rsid w:val="001657A9"/>
    <w:rsid w:val="0016608D"/>
    <w:rsid w:val="00166B62"/>
    <w:rsid w:val="0016705D"/>
    <w:rsid w:val="0016718B"/>
    <w:rsid w:val="001675BC"/>
    <w:rsid w:val="0017162B"/>
    <w:rsid w:val="0017294F"/>
    <w:rsid w:val="00172AC2"/>
    <w:rsid w:val="00172BB3"/>
    <w:rsid w:val="00173BEF"/>
    <w:rsid w:val="00174401"/>
    <w:rsid w:val="00174E05"/>
    <w:rsid w:val="00175B02"/>
    <w:rsid w:val="001765B9"/>
    <w:rsid w:val="001767CB"/>
    <w:rsid w:val="00177524"/>
    <w:rsid w:val="00177689"/>
    <w:rsid w:val="00180DA3"/>
    <w:rsid w:val="00180E9A"/>
    <w:rsid w:val="00181522"/>
    <w:rsid w:val="00181EE8"/>
    <w:rsid w:val="0018244E"/>
    <w:rsid w:val="00183DF0"/>
    <w:rsid w:val="00185C7F"/>
    <w:rsid w:val="00187E36"/>
    <w:rsid w:val="00187F18"/>
    <w:rsid w:val="00190E0D"/>
    <w:rsid w:val="001911A2"/>
    <w:rsid w:val="00193728"/>
    <w:rsid w:val="001945D1"/>
    <w:rsid w:val="001972AD"/>
    <w:rsid w:val="0019777D"/>
    <w:rsid w:val="00197D17"/>
    <w:rsid w:val="001A0484"/>
    <w:rsid w:val="001A0D01"/>
    <w:rsid w:val="001A2D9C"/>
    <w:rsid w:val="001A3517"/>
    <w:rsid w:val="001A4636"/>
    <w:rsid w:val="001A5DAE"/>
    <w:rsid w:val="001A6C68"/>
    <w:rsid w:val="001A6DE4"/>
    <w:rsid w:val="001A6F4D"/>
    <w:rsid w:val="001A74E6"/>
    <w:rsid w:val="001B0F76"/>
    <w:rsid w:val="001B48B5"/>
    <w:rsid w:val="001B49FE"/>
    <w:rsid w:val="001B4CDD"/>
    <w:rsid w:val="001B6671"/>
    <w:rsid w:val="001B6CED"/>
    <w:rsid w:val="001B78C2"/>
    <w:rsid w:val="001C02F8"/>
    <w:rsid w:val="001C0B83"/>
    <w:rsid w:val="001C452D"/>
    <w:rsid w:val="001C4810"/>
    <w:rsid w:val="001C4DCA"/>
    <w:rsid w:val="001C5558"/>
    <w:rsid w:val="001C6032"/>
    <w:rsid w:val="001C652C"/>
    <w:rsid w:val="001C6E0D"/>
    <w:rsid w:val="001C721E"/>
    <w:rsid w:val="001D00FB"/>
    <w:rsid w:val="001D13CD"/>
    <w:rsid w:val="001D2A82"/>
    <w:rsid w:val="001D2D78"/>
    <w:rsid w:val="001D3D6A"/>
    <w:rsid w:val="001D4BC9"/>
    <w:rsid w:val="001D4DF8"/>
    <w:rsid w:val="001D50DC"/>
    <w:rsid w:val="001D5B3D"/>
    <w:rsid w:val="001D5C0D"/>
    <w:rsid w:val="001D6B1C"/>
    <w:rsid w:val="001D7203"/>
    <w:rsid w:val="001D74CB"/>
    <w:rsid w:val="001D76E9"/>
    <w:rsid w:val="001D7F2A"/>
    <w:rsid w:val="001E044B"/>
    <w:rsid w:val="001E047B"/>
    <w:rsid w:val="001E0D54"/>
    <w:rsid w:val="001E1A95"/>
    <w:rsid w:val="001E1D95"/>
    <w:rsid w:val="001E2086"/>
    <w:rsid w:val="001E2714"/>
    <w:rsid w:val="001E3428"/>
    <w:rsid w:val="001E35CA"/>
    <w:rsid w:val="001E52BD"/>
    <w:rsid w:val="001E555A"/>
    <w:rsid w:val="001E6C06"/>
    <w:rsid w:val="001F0849"/>
    <w:rsid w:val="001F1432"/>
    <w:rsid w:val="001F2D8A"/>
    <w:rsid w:val="001F347E"/>
    <w:rsid w:val="001F36EF"/>
    <w:rsid w:val="001F3ACE"/>
    <w:rsid w:val="001F4138"/>
    <w:rsid w:val="001F5AE5"/>
    <w:rsid w:val="001F5AFD"/>
    <w:rsid w:val="001F632C"/>
    <w:rsid w:val="001F63F6"/>
    <w:rsid w:val="001F7C01"/>
    <w:rsid w:val="002006CC"/>
    <w:rsid w:val="00201890"/>
    <w:rsid w:val="002021D6"/>
    <w:rsid w:val="00202BC2"/>
    <w:rsid w:val="002034CC"/>
    <w:rsid w:val="00203B96"/>
    <w:rsid w:val="00204857"/>
    <w:rsid w:val="00204F6E"/>
    <w:rsid w:val="00205484"/>
    <w:rsid w:val="00205609"/>
    <w:rsid w:val="00205B03"/>
    <w:rsid w:val="00206156"/>
    <w:rsid w:val="002064C2"/>
    <w:rsid w:val="00206722"/>
    <w:rsid w:val="00206F4B"/>
    <w:rsid w:val="0020700B"/>
    <w:rsid w:val="0020737A"/>
    <w:rsid w:val="00207BE8"/>
    <w:rsid w:val="002104DA"/>
    <w:rsid w:val="00211278"/>
    <w:rsid w:val="002112E1"/>
    <w:rsid w:val="00211E2C"/>
    <w:rsid w:val="002124D3"/>
    <w:rsid w:val="002137A8"/>
    <w:rsid w:val="00213E75"/>
    <w:rsid w:val="00214980"/>
    <w:rsid w:val="0021579B"/>
    <w:rsid w:val="002158B5"/>
    <w:rsid w:val="00215CEC"/>
    <w:rsid w:val="00215EE0"/>
    <w:rsid w:val="0021621C"/>
    <w:rsid w:val="002167DB"/>
    <w:rsid w:val="0022072E"/>
    <w:rsid w:val="0022076C"/>
    <w:rsid w:val="0022136E"/>
    <w:rsid w:val="002213CE"/>
    <w:rsid w:val="00222696"/>
    <w:rsid w:val="002226E4"/>
    <w:rsid w:val="00222D11"/>
    <w:rsid w:val="0022345A"/>
    <w:rsid w:val="00223937"/>
    <w:rsid w:val="00224786"/>
    <w:rsid w:val="002251B3"/>
    <w:rsid w:val="00225358"/>
    <w:rsid w:val="00225A82"/>
    <w:rsid w:val="00225B36"/>
    <w:rsid w:val="00226B1F"/>
    <w:rsid w:val="00230302"/>
    <w:rsid w:val="0023031D"/>
    <w:rsid w:val="00231D0C"/>
    <w:rsid w:val="00232018"/>
    <w:rsid w:val="00232C6C"/>
    <w:rsid w:val="00232FF4"/>
    <w:rsid w:val="0023360D"/>
    <w:rsid w:val="00233BE1"/>
    <w:rsid w:val="0023406E"/>
    <w:rsid w:val="00234E83"/>
    <w:rsid w:val="00235213"/>
    <w:rsid w:val="002367E7"/>
    <w:rsid w:val="00236A86"/>
    <w:rsid w:val="00237795"/>
    <w:rsid w:val="00237CF7"/>
    <w:rsid w:val="0024083F"/>
    <w:rsid w:val="00241DE4"/>
    <w:rsid w:val="002424C0"/>
    <w:rsid w:val="002431DB"/>
    <w:rsid w:val="002433C5"/>
    <w:rsid w:val="00243E49"/>
    <w:rsid w:val="00243F38"/>
    <w:rsid w:val="0024484E"/>
    <w:rsid w:val="00245801"/>
    <w:rsid w:val="002461A1"/>
    <w:rsid w:val="00247724"/>
    <w:rsid w:val="002509DF"/>
    <w:rsid w:val="00251CF6"/>
    <w:rsid w:val="00253FCB"/>
    <w:rsid w:val="00254178"/>
    <w:rsid w:val="0025447E"/>
    <w:rsid w:val="002544CE"/>
    <w:rsid w:val="002544FB"/>
    <w:rsid w:val="00254F73"/>
    <w:rsid w:val="0025503E"/>
    <w:rsid w:val="0025564E"/>
    <w:rsid w:val="0025574D"/>
    <w:rsid w:val="00256770"/>
    <w:rsid w:val="00256DD1"/>
    <w:rsid w:val="0026307F"/>
    <w:rsid w:val="0026423D"/>
    <w:rsid w:val="002652DB"/>
    <w:rsid w:val="00265F02"/>
    <w:rsid w:val="002674CB"/>
    <w:rsid w:val="0027039F"/>
    <w:rsid w:val="00271529"/>
    <w:rsid w:val="00271AE9"/>
    <w:rsid w:val="00271F95"/>
    <w:rsid w:val="0027361D"/>
    <w:rsid w:val="00273E23"/>
    <w:rsid w:val="002740C2"/>
    <w:rsid w:val="002743BB"/>
    <w:rsid w:val="00276BA0"/>
    <w:rsid w:val="00277AAB"/>
    <w:rsid w:val="0028099F"/>
    <w:rsid w:val="0028166A"/>
    <w:rsid w:val="00281CE6"/>
    <w:rsid w:val="00281F11"/>
    <w:rsid w:val="00282978"/>
    <w:rsid w:val="00282B14"/>
    <w:rsid w:val="00283C03"/>
    <w:rsid w:val="00285AFA"/>
    <w:rsid w:val="002862BE"/>
    <w:rsid w:val="00286506"/>
    <w:rsid w:val="00287A5E"/>
    <w:rsid w:val="00287E25"/>
    <w:rsid w:val="00287E3D"/>
    <w:rsid w:val="002908AF"/>
    <w:rsid w:val="00292764"/>
    <w:rsid w:val="002929EA"/>
    <w:rsid w:val="002940C5"/>
    <w:rsid w:val="00294A8B"/>
    <w:rsid w:val="0029540F"/>
    <w:rsid w:val="002958B9"/>
    <w:rsid w:val="0029751C"/>
    <w:rsid w:val="002979BF"/>
    <w:rsid w:val="002A04C5"/>
    <w:rsid w:val="002A08F5"/>
    <w:rsid w:val="002A108B"/>
    <w:rsid w:val="002A1169"/>
    <w:rsid w:val="002A17D9"/>
    <w:rsid w:val="002A2448"/>
    <w:rsid w:val="002A24A8"/>
    <w:rsid w:val="002A557E"/>
    <w:rsid w:val="002A7171"/>
    <w:rsid w:val="002A7256"/>
    <w:rsid w:val="002A77C0"/>
    <w:rsid w:val="002A7ADC"/>
    <w:rsid w:val="002B076C"/>
    <w:rsid w:val="002B152E"/>
    <w:rsid w:val="002B285D"/>
    <w:rsid w:val="002B2E4D"/>
    <w:rsid w:val="002B302C"/>
    <w:rsid w:val="002B3093"/>
    <w:rsid w:val="002B398C"/>
    <w:rsid w:val="002B3F89"/>
    <w:rsid w:val="002B41B3"/>
    <w:rsid w:val="002B4268"/>
    <w:rsid w:val="002B44E7"/>
    <w:rsid w:val="002B6A79"/>
    <w:rsid w:val="002B6DF3"/>
    <w:rsid w:val="002B7E04"/>
    <w:rsid w:val="002C1A39"/>
    <w:rsid w:val="002C1AC0"/>
    <w:rsid w:val="002C1D76"/>
    <w:rsid w:val="002C1F7F"/>
    <w:rsid w:val="002C215C"/>
    <w:rsid w:val="002C22A7"/>
    <w:rsid w:val="002C26BF"/>
    <w:rsid w:val="002C29A9"/>
    <w:rsid w:val="002C4248"/>
    <w:rsid w:val="002C43C6"/>
    <w:rsid w:val="002C4FF3"/>
    <w:rsid w:val="002C54F2"/>
    <w:rsid w:val="002C60C2"/>
    <w:rsid w:val="002C78FF"/>
    <w:rsid w:val="002D084B"/>
    <w:rsid w:val="002D098B"/>
    <w:rsid w:val="002D0CC0"/>
    <w:rsid w:val="002D1DFA"/>
    <w:rsid w:val="002D24F6"/>
    <w:rsid w:val="002D2AD6"/>
    <w:rsid w:val="002D3129"/>
    <w:rsid w:val="002D32F3"/>
    <w:rsid w:val="002D462B"/>
    <w:rsid w:val="002D4B70"/>
    <w:rsid w:val="002D5733"/>
    <w:rsid w:val="002D5B53"/>
    <w:rsid w:val="002D6598"/>
    <w:rsid w:val="002D6ECE"/>
    <w:rsid w:val="002D7145"/>
    <w:rsid w:val="002D7855"/>
    <w:rsid w:val="002D7A7B"/>
    <w:rsid w:val="002E07E9"/>
    <w:rsid w:val="002E190E"/>
    <w:rsid w:val="002E3C60"/>
    <w:rsid w:val="002E6051"/>
    <w:rsid w:val="002E7B2B"/>
    <w:rsid w:val="002F2630"/>
    <w:rsid w:val="002F2A6F"/>
    <w:rsid w:val="002F3FB7"/>
    <w:rsid w:val="002F48A2"/>
    <w:rsid w:val="002F56C9"/>
    <w:rsid w:val="002F575C"/>
    <w:rsid w:val="002F7502"/>
    <w:rsid w:val="002F778E"/>
    <w:rsid w:val="002F785B"/>
    <w:rsid w:val="00300057"/>
    <w:rsid w:val="00300080"/>
    <w:rsid w:val="00300174"/>
    <w:rsid w:val="0030041C"/>
    <w:rsid w:val="0030107E"/>
    <w:rsid w:val="00301197"/>
    <w:rsid w:val="00303565"/>
    <w:rsid w:val="003041BD"/>
    <w:rsid w:val="00304663"/>
    <w:rsid w:val="00304E47"/>
    <w:rsid w:val="00305FC9"/>
    <w:rsid w:val="003076B1"/>
    <w:rsid w:val="0031162A"/>
    <w:rsid w:val="003119F6"/>
    <w:rsid w:val="0031405C"/>
    <w:rsid w:val="00314F23"/>
    <w:rsid w:val="00315807"/>
    <w:rsid w:val="00317593"/>
    <w:rsid w:val="00321B17"/>
    <w:rsid w:val="003223AF"/>
    <w:rsid w:val="00322A26"/>
    <w:rsid w:val="00324A37"/>
    <w:rsid w:val="00325240"/>
    <w:rsid w:val="00325969"/>
    <w:rsid w:val="00325ADC"/>
    <w:rsid w:val="00325FFB"/>
    <w:rsid w:val="0032650A"/>
    <w:rsid w:val="003269D1"/>
    <w:rsid w:val="00326AED"/>
    <w:rsid w:val="00327840"/>
    <w:rsid w:val="00327ADB"/>
    <w:rsid w:val="0033021A"/>
    <w:rsid w:val="00332221"/>
    <w:rsid w:val="00332441"/>
    <w:rsid w:val="00332B5B"/>
    <w:rsid w:val="00333E9E"/>
    <w:rsid w:val="003347AC"/>
    <w:rsid w:val="003352B6"/>
    <w:rsid w:val="00335A80"/>
    <w:rsid w:val="00336680"/>
    <w:rsid w:val="00337C43"/>
    <w:rsid w:val="00340588"/>
    <w:rsid w:val="00342C31"/>
    <w:rsid w:val="0034320E"/>
    <w:rsid w:val="00343297"/>
    <w:rsid w:val="003435A6"/>
    <w:rsid w:val="003439CC"/>
    <w:rsid w:val="00343AA5"/>
    <w:rsid w:val="00343EAD"/>
    <w:rsid w:val="00345235"/>
    <w:rsid w:val="00345D5E"/>
    <w:rsid w:val="00347048"/>
    <w:rsid w:val="0034730C"/>
    <w:rsid w:val="003479CF"/>
    <w:rsid w:val="003517D3"/>
    <w:rsid w:val="00351A33"/>
    <w:rsid w:val="00351E79"/>
    <w:rsid w:val="00351FFE"/>
    <w:rsid w:val="00352CF0"/>
    <w:rsid w:val="00352DF0"/>
    <w:rsid w:val="00352FFC"/>
    <w:rsid w:val="003537A8"/>
    <w:rsid w:val="003537CE"/>
    <w:rsid w:val="003539B1"/>
    <w:rsid w:val="003545DF"/>
    <w:rsid w:val="00355103"/>
    <w:rsid w:val="00355F34"/>
    <w:rsid w:val="003607F1"/>
    <w:rsid w:val="003625BD"/>
    <w:rsid w:val="00362E67"/>
    <w:rsid w:val="003634CC"/>
    <w:rsid w:val="00364D73"/>
    <w:rsid w:val="00365BB2"/>
    <w:rsid w:val="00366CDC"/>
    <w:rsid w:val="00367A82"/>
    <w:rsid w:val="00370F00"/>
    <w:rsid w:val="00370F0C"/>
    <w:rsid w:val="00371106"/>
    <w:rsid w:val="0037145A"/>
    <w:rsid w:val="00372259"/>
    <w:rsid w:val="00373E8B"/>
    <w:rsid w:val="00373F4D"/>
    <w:rsid w:val="003745CB"/>
    <w:rsid w:val="00375E42"/>
    <w:rsid w:val="00376480"/>
    <w:rsid w:val="003768D8"/>
    <w:rsid w:val="00376D40"/>
    <w:rsid w:val="00380A33"/>
    <w:rsid w:val="00380A78"/>
    <w:rsid w:val="00380E6A"/>
    <w:rsid w:val="00380FB3"/>
    <w:rsid w:val="00381127"/>
    <w:rsid w:val="003818C7"/>
    <w:rsid w:val="00381B1F"/>
    <w:rsid w:val="003834E5"/>
    <w:rsid w:val="00383B36"/>
    <w:rsid w:val="00384973"/>
    <w:rsid w:val="003878D2"/>
    <w:rsid w:val="00387A18"/>
    <w:rsid w:val="003912BC"/>
    <w:rsid w:val="00391970"/>
    <w:rsid w:val="0039260A"/>
    <w:rsid w:val="00392877"/>
    <w:rsid w:val="00395257"/>
    <w:rsid w:val="003953BE"/>
    <w:rsid w:val="003956D8"/>
    <w:rsid w:val="003960B0"/>
    <w:rsid w:val="003973F9"/>
    <w:rsid w:val="00397DDA"/>
    <w:rsid w:val="00397E1D"/>
    <w:rsid w:val="003A0B41"/>
    <w:rsid w:val="003A0DF9"/>
    <w:rsid w:val="003A1446"/>
    <w:rsid w:val="003A1863"/>
    <w:rsid w:val="003A1FAB"/>
    <w:rsid w:val="003A22DE"/>
    <w:rsid w:val="003A475C"/>
    <w:rsid w:val="003A4848"/>
    <w:rsid w:val="003A596C"/>
    <w:rsid w:val="003A5ABE"/>
    <w:rsid w:val="003A5ED9"/>
    <w:rsid w:val="003A7A13"/>
    <w:rsid w:val="003A7F12"/>
    <w:rsid w:val="003B1430"/>
    <w:rsid w:val="003B2CFF"/>
    <w:rsid w:val="003B2D99"/>
    <w:rsid w:val="003B37DE"/>
    <w:rsid w:val="003B50D7"/>
    <w:rsid w:val="003B5CE9"/>
    <w:rsid w:val="003B5E3E"/>
    <w:rsid w:val="003B5F60"/>
    <w:rsid w:val="003B75D5"/>
    <w:rsid w:val="003B7EA7"/>
    <w:rsid w:val="003C000A"/>
    <w:rsid w:val="003C09BC"/>
    <w:rsid w:val="003C0C60"/>
    <w:rsid w:val="003C12FF"/>
    <w:rsid w:val="003C21CA"/>
    <w:rsid w:val="003C26DC"/>
    <w:rsid w:val="003C32DC"/>
    <w:rsid w:val="003C3554"/>
    <w:rsid w:val="003C376F"/>
    <w:rsid w:val="003C46BC"/>
    <w:rsid w:val="003C4B1C"/>
    <w:rsid w:val="003C5660"/>
    <w:rsid w:val="003C6647"/>
    <w:rsid w:val="003C6B88"/>
    <w:rsid w:val="003C6E9F"/>
    <w:rsid w:val="003C74EA"/>
    <w:rsid w:val="003C7A0B"/>
    <w:rsid w:val="003D014D"/>
    <w:rsid w:val="003D0375"/>
    <w:rsid w:val="003D05C7"/>
    <w:rsid w:val="003D0F8F"/>
    <w:rsid w:val="003D19B2"/>
    <w:rsid w:val="003D202B"/>
    <w:rsid w:val="003D31C9"/>
    <w:rsid w:val="003D340D"/>
    <w:rsid w:val="003D404C"/>
    <w:rsid w:val="003D4560"/>
    <w:rsid w:val="003D4D5A"/>
    <w:rsid w:val="003D515A"/>
    <w:rsid w:val="003D74B5"/>
    <w:rsid w:val="003E0029"/>
    <w:rsid w:val="003E05E7"/>
    <w:rsid w:val="003E092B"/>
    <w:rsid w:val="003E20CE"/>
    <w:rsid w:val="003E2605"/>
    <w:rsid w:val="003E2B17"/>
    <w:rsid w:val="003E2E41"/>
    <w:rsid w:val="003E377A"/>
    <w:rsid w:val="003E3DE3"/>
    <w:rsid w:val="003E4850"/>
    <w:rsid w:val="003E5045"/>
    <w:rsid w:val="003E5C7C"/>
    <w:rsid w:val="003E611A"/>
    <w:rsid w:val="003E6B15"/>
    <w:rsid w:val="003E70E7"/>
    <w:rsid w:val="003F026E"/>
    <w:rsid w:val="003F1A75"/>
    <w:rsid w:val="003F4080"/>
    <w:rsid w:val="003F46AB"/>
    <w:rsid w:val="003F73B6"/>
    <w:rsid w:val="00400ED1"/>
    <w:rsid w:val="00401F4E"/>
    <w:rsid w:val="00403148"/>
    <w:rsid w:val="004037BC"/>
    <w:rsid w:val="00403D42"/>
    <w:rsid w:val="00404CE4"/>
    <w:rsid w:val="00406CD5"/>
    <w:rsid w:val="00406D3B"/>
    <w:rsid w:val="00406FF3"/>
    <w:rsid w:val="00407378"/>
    <w:rsid w:val="00407794"/>
    <w:rsid w:val="0041018C"/>
    <w:rsid w:val="00410368"/>
    <w:rsid w:val="00414323"/>
    <w:rsid w:val="00415AF3"/>
    <w:rsid w:val="004160E5"/>
    <w:rsid w:val="004162E1"/>
    <w:rsid w:val="004163AF"/>
    <w:rsid w:val="00416557"/>
    <w:rsid w:val="004179D7"/>
    <w:rsid w:val="00417F17"/>
    <w:rsid w:val="0042161C"/>
    <w:rsid w:val="00421A76"/>
    <w:rsid w:val="0042450D"/>
    <w:rsid w:val="00425053"/>
    <w:rsid w:val="00425260"/>
    <w:rsid w:val="004263AE"/>
    <w:rsid w:val="00426A22"/>
    <w:rsid w:val="0042701C"/>
    <w:rsid w:val="0042713A"/>
    <w:rsid w:val="004274E2"/>
    <w:rsid w:val="00427A9C"/>
    <w:rsid w:val="00430B78"/>
    <w:rsid w:val="00431160"/>
    <w:rsid w:val="004317E9"/>
    <w:rsid w:val="00431EA7"/>
    <w:rsid w:val="00432532"/>
    <w:rsid w:val="00432F58"/>
    <w:rsid w:val="004333C1"/>
    <w:rsid w:val="004336BB"/>
    <w:rsid w:val="00433712"/>
    <w:rsid w:val="00433B66"/>
    <w:rsid w:val="00433E78"/>
    <w:rsid w:val="00435885"/>
    <w:rsid w:val="004365B3"/>
    <w:rsid w:val="00436E03"/>
    <w:rsid w:val="004417D2"/>
    <w:rsid w:val="004425D7"/>
    <w:rsid w:val="00442777"/>
    <w:rsid w:val="00443460"/>
    <w:rsid w:val="004436F0"/>
    <w:rsid w:val="004442CA"/>
    <w:rsid w:val="004453A6"/>
    <w:rsid w:val="00446E42"/>
    <w:rsid w:val="004471A7"/>
    <w:rsid w:val="00447945"/>
    <w:rsid w:val="00450915"/>
    <w:rsid w:val="00450C93"/>
    <w:rsid w:val="00451762"/>
    <w:rsid w:val="00451793"/>
    <w:rsid w:val="0045224C"/>
    <w:rsid w:val="004527AC"/>
    <w:rsid w:val="00452C88"/>
    <w:rsid w:val="004537A2"/>
    <w:rsid w:val="004539B3"/>
    <w:rsid w:val="00453A07"/>
    <w:rsid w:val="004545D4"/>
    <w:rsid w:val="00455C0A"/>
    <w:rsid w:val="00456704"/>
    <w:rsid w:val="00456B2F"/>
    <w:rsid w:val="00457958"/>
    <w:rsid w:val="004616C0"/>
    <w:rsid w:val="00462D05"/>
    <w:rsid w:val="00462DD4"/>
    <w:rsid w:val="00463400"/>
    <w:rsid w:val="00463A4C"/>
    <w:rsid w:val="00464A65"/>
    <w:rsid w:val="00464D00"/>
    <w:rsid w:val="00464DCF"/>
    <w:rsid w:val="004661D8"/>
    <w:rsid w:val="004665FC"/>
    <w:rsid w:val="00467E18"/>
    <w:rsid w:val="0047129A"/>
    <w:rsid w:val="00472C58"/>
    <w:rsid w:val="004730DA"/>
    <w:rsid w:val="004734F7"/>
    <w:rsid w:val="004735A2"/>
    <w:rsid w:val="00474E2E"/>
    <w:rsid w:val="00476754"/>
    <w:rsid w:val="004768D8"/>
    <w:rsid w:val="00476D1A"/>
    <w:rsid w:val="0047757A"/>
    <w:rsid w:val="00477ECC"/>
    <w:rsid w:val="0048158A"/>
    <w:rsid w:val="00481CDE"/>
    <w:rsid w:val="00482464"/>
    <w:rsid w:val="00482AA8"/>
    <w:rsid w:val="00483F56"/>
    <w:rsid w:val="00484014"/>
    <w:rsid w:val="00485509"/>
    <w:rsid w:val="0048593B"/>
    <w:rsid w:val="00490103"/>
    <w:rsid w:val="00491B07"/>
    <w:rsid w:val="00492436"/>
    <w:rsid w:val="00492A05"/>
    <w:rsid w:val="00492F87"/>
    <w:rsid w:val="00494E24"/>
    <w:rsid w:val="00494EF6"/>
    <w:rsid w:val="004956C2"/>
    <w:rsid w:val="00495E54"/>
    <w:rsid w:val="0049634E"/>
    <w:rsid w:val="004975AB"/>
    <w:rsid w:val="00497BC0"/>
    <w:rsid w:val="004A1250"/>
    <w:rsid w:val="004A2C5D"/>
    <w:rsid w:val="004A31F7"/>
    <w:rsid w:val="004A43A5"/>
    <w:rsid w:val="004A49A4"/>
    <w:rsid w:val="004A49F0"/>
    <w:rsid w:val="004A4BDA"/>
    <w:rsid w:val="004A600A"/>
    <w:rsid w:val="004A72F5"/>
    <w:rsid w:val="004A74F2"/>
    <w:rsid w:val="004A7783"/>
    <w:rsid w:val="004A7B1A"/>
    <w:rsid w:val="004A7E73"/>
    <w:rsid w:val="004B0BA2"/>
    <w:rsid w:val="004B12C3"/>
    <w:rsid w:val="004B23BF"/>
    <w:rsid w:val="004B2666"/>
    <w:rsid w:val="004B2755"/>
    <w:rsid w:val="004B2CAA"/>
    <w:rsid w:val="004B2D4B"/>
    <w:rsid w:val="004B3162"/>
    <w:rsid w:val="004B343F"/>
    <w:rsid w:val="004B4033"/>
    <w:rsid w:val="004B416D"/>
    <w:rsid w:val="004B422F"/>
    <w:rsid w:val="004B52A8"/>
    <w:rsid w:val="004B5E3D"/>
    <w:rsid w:val="004B739B"/>
    <w:rsid w:val="004B75B5"/>
    <w:rsid w:val="004C039F"/>
    <w:rsid w:val="004C1C09"/>
    <w:rsid w:val="004C2386"/>
    <w:rsid w:val="004C4638"/>
    <w:rsid w:val="004C4639"/>
    <w:rsid w:val="004C54A3"/>
    <w:rsid w:val="004C598A"/>
    <w:rsid w:val="004C6A4D"/>
    <w:rsid w:val="004C6AAF"/>
    <w:rsid w:val="004C737D"/>
    <w:rsid w:val="004C7996"/>
    <w:rsid w:val="004D26E6"/>
    <w:rsid w:val="004D375B"/>
    <w:rsid w:val="004D3DCB"/>
    <w:rsid w:val="004D52F9"/>
    <w:rsid w:val="004D5C63"/>
    <w:rsid w:val="004D6049"/>
    <w:rsid w:val="004D606F"/>
    <w:rsid w:val="004D62A4"/>
    <w:rsid w:val="004D64B6"/>
    <w:rsid w:val="004D6E7E"/>
    <w:rsid w:val="004D7BCF"/>
    <w:rsid w:val="004E0FBC"/>
    <w:rsid w:val="004E1D16"/>
    <w:rsid w:val="004E2174"/>
    <w:rsid w:val="004E2A7C"/>
    <w:rsid w:val="004E36CF"/>
    <w:rsid w:val="004E3AEC"/>
    <w:rsid w:val="004E3C48"/>
    <w:rsid w:val="004E41FA"/>
    <w:rsid w:val="004E4AEF"/>
    <w:rsid w:val="004E529E"/>
    <w:rsid w:val="004E5352"/>
    <w:rsid w:val="004E6144"/>
    <w:rsid w:val="004E739A"/>
    <w:rsid w:val="004F0103"/>
    <w:rsid w:val="004F1778"/>
    <w:rsid w:val="004F187D"/>
    <w:rsid w:val="004F1BDA"/>
    <w:rsid w:val="004F2482"/>
    <w:rsid w:val="004F3152"/>
    <w:rsid w:val="004F347E"/>
    <w:rsid w:val="004F48CD"/>
    <w:rsid w:val="004F4913"/>
    <w:rsid w:val="004F58D4"/>
    <w:rsid w:val="004F636A"/>
    <w:rsid w:val="00501C13"/>
    <w:rsid w:val="005030CE"/>
    <w:rsid w:val="005031CB"/>
    <w:rsid w:val="00504565"/>
    <w:rsid w:val="005053F5"/>
    <w:rsid w:val="00506011"/>
    <w:rsid w:val="0050642D"/>
    <w:rsid w:val="005073C0"/>
    <w:rsid w:val="00510597"/>
    <w:rsid w:val="00510B73"/>
    <w:rsid w:val="00511642"/>
    <w:rsid w:val="005117A8"/>
    <w:rsid w:val="005118A8"/>
    <w:rsid w:val="0051191A"/>
    <w:rsid w:val="00512560"/>
    <w:rsid w:val="00512EB4"/>
    <w:rsid w:val="00513C76"/>
    <w:rsid w:val="00516BD9"/>
    <w:rsid w:val="00520572"/>
    <w:rsid w:val="00520B8F"/>
    <w:rsid w:val="00520F98"/>
    <w:rsid w:val="00522382"/>
    <w:rsid w:val="0052245A"/>
    <w:rsid w:val="00522A76"/>
    <w:rsid w:val="005232AA"/>
    <w:rsid w:val="00523DB6"/>
    <w:rsid w:val="00524D7B"/>
    <w:rsid w:val="005254BB"/>
    <w:rsid w:val="0052577D"/>
    <w:rsid w:val="00525A73"/>
    <w:rsid w:val="00526E98"/>
    <w:rsid w:val="0052705A"/>
    <w:rsid w:val="005270DE"/>
    <w:rsid w:val="00527D03"/>
    <w:rsid w:val="00530712"/>
    <w:rsid w:val="00530B62"/>
    <w:rsid w:val="00531B1B"/>
    <w:rsid w:val="00533316"/>
    <w:rsid w:val="00533F85"/>
    <w:rsid w:val="00534138"/>
    <w:rsid w:val="00534909"/>
    <w:rsid w:val="00535BC2"/>
    <w:rsid w:val="005366B3"/>
    <w:rsid w:val="0053704A"/>
    <w:rsid w:val="00537848"/>
    <w:rsid w:val="00537FD6"/>
    <w:rsid w:val="00540777"/>
    <w:rsid w:val="005420DE"/>
    <w:rsid w:val="005427C0"/>
    <w:rsid w:val="00542AAA"/>
    <w:rsid w:val="00543204"/>
    <w:rsid w:val="00543B3B"/>
    <w:rsid w:val="00543EE5"/>
    <w:rsid w:val="00545073"/>
    <w:rsid w:val="00546167"/>
    <w:rsid w:val="00546CE0"/>
    <w:rsid w:val="005470FB"/>
    <w:rsid w:val="0054776F"/>
    <w:rsid w:val="00550AE0"/>
    <w:rsid w:val="00550D84"/>
    <w:rsid w:val="00550FF8"/>
    <w:rsid w:val="00551097"/>
    <w:rsid w:val="00551285"/>
    <w:rsid w:val="005513C6"/>
    <w:rsid w:val="005519D5"/>
    <w:rsid w:val="005541CC"/>
    <w:rsid w:val="00554368"/>
    <w:rsid w:val="005544D8"/>
    <w:rsid w:val="00555FB5"/>
    <w:rsid w:val="005560AD"/>
    <w:rsid w:val="005571DA"/>
    <w:rsid w:val="00557686"/>
    <w:rsid w:val="00557E83"/>
    <w:rsid w:val="00560876"/>
    <w:rsid w:val="00561271"/>
    <w:rsid w:val="00561321"/>
    <w:rsid w:val="00561A01"/>
    <w:rsid w:val="00561C19"/>
    <w:rsid w:val="00561F47"/>
    <w:rsid w:val="00563ACD"/>
    <w:rsid w:val="00563DD0"/>
    <w:rsid w:val="00563E65"/>
    <w:rsid w:val="00564B0C"/>
    <w:rsid w:val="00564C13"/>
    <w:rsid w:val="0056520F"/>
    <w:rsid w:val="00565869"/>
    <w:rsid w:val="0056690E"/>
    <w:rsid w:val="00566962"/>
    <w:rsid w:val="005675FC"/>
    <w:rsid w:val="00570412"/>
    <w:rsid w:val="00570DA0"/>
    <w:rsid w:val="00571971"/>
    <w:rsid w:val="00572F85"/>
    <w:rsid w:val="00573433"/>
    <w:rsid w:val="00574A81"/>
    <w:rsid w:val="00575776"/>
    <w:rsid w:val="00580D3F"/>
    <w:rsid w:val="00581DA9"/>
    <w:rsid w:val="00581EF8"/>
    <w:rsid w:val="00585B27"/>
    <w:rsid w:val="00585BBC"/>
    <w:rsid w:val="0058600B"/>
    <w:rsid w:val="0058688F"/>
    <w:rsid w:val="00587529"/>
    <w:rsid w:val="0059064B"/>
    <w:rsid w:val="005920E4"/>
    <w:rsid w:val="00592210"/>
    <w:rsid w:val="005930BE"/>
    <w:rsid w:val="005944DA"/>
    <w:rsid w:val="00595CDE"/>
    <w:rsid w:val="005974A6"/>
    <w:rsid w:val="005A0196"/>
    <w:rsid w:val="005A14D6"/>
    <w:rsid w:val="005A1503"/>
    <w:rsid w:val="005A1D54"/>
    <w:rsid w:val="005A207E"/>
    <w:rsid w:val="005A35D5"/>
    <w:rsid w:val="005A3FBA"/>
    <w:rsid w:val="005A5B77"/>
    <w:rsid w:val="005A69FF"/>
    <w:rsid w:val="005A79C9"/>
    <w:rsid w:val="005A7C2E"/>
    <w:rsid w:val="005B0706"/>
    <w:rsid w:val="005B0A89"/>
    <w:rsid w:val="005B0E39"/>
    <w:rsid w:val="005B1337"/>
    <w:rsid w:val="005B14AF"/>
    <w:rsid w:val="005B18F5"/>
    <w:rsid w:val="005B3B2E"/>
    <w:rsid w:val="005B4D3A"/>
    <w:rsid w:val="005B562D"/>
    <w:rsid w:val="005B7250"/>
    <w:rsid w:val="005B7572"/>
    <w:rsid w:val="005C02E3"/>
    <w:rsid w:val="005C0910"/>
    <w:rsid w:val="005C1F1A"/>
    <w:rsid w:val="005C2926"/>
    <w:rsid w:val="005C43A5"/>
    <w:rsid w:val="005C5750"/>
    <w:rsid w:val="005C6756"/>
    <w:rsid w:val="005C78A8"/>
    <w:rsid w:val="005D0299"/>
    <w:rsid w:val="005D24B1"/>
    <w:rsid w:val="005D285F"/>
    <w:rsid w:val="005D3AF3"/>
    <w:rsid w:val="005D4EB2"/>
    <w:rsid w:val="005D4F31"/>
    <w:rsid w:val="005D5D34"/>
    <w:rsid w:val="005D60F8"/>
    <w:rsid w:val="005D63C4"/>
    <w:rsid w:val="005D6B3A"/>
    <w:rsid w:val="005D7EDD"/>
    <w:rsid w:val="005E0086"/>
    <w:rsid w:val="005E1785"/>
    <w:rsid w:val="005E1797"/>
    <w:rsid w:val="005E1B41"/>
    <w:rsid w:val="005E1B67"/>
    <w:rsid w:val="005E249C"/>
    <w:rsid w:val="005E29F2"/>
    <w:rsid w:val="005E2E12"/>
    <w:rsid w:val="005E4160"/>
    <w:rsid w:val="005E52F4"/>
    <w:rsid w:val="005E532C"/>
    <w:rsid w:val="005E5CF1"/>
    <w:rsid w:val="005E6349"/>
    <w:rsid w:val="005E690B"/>
    <w:rsid w:val="005E7E95"/>
    <w:rsid w:val="005F0E12"/>
    <w:rsid w:val="005F2868"/>
    <w:rsid w:val="005F2B0B"/>
    <w:rsid w:val="005F2CB7"/>
    <w:rsid w:val="005F2DFF"/>
    <w:rsid w:val="005F2EDB"/>
    <w:rsid w:val="005F4BB2"/>
    <w:rsid w:val="005F4CE6"/>
    <w:rsid w:val="005F5077"/>
    <w:rsid w:val="005F6130"/>
    <w:rsid w:val="005F6670"/>
    <w:rsid w:val="005F6E9B"/>
    <w:rsid w:val="005F73E3"/>
    <w:rsid w:val="005F7794"/>
    <w:rsid w:val="00600630"/>
    <w:rsid w:val="006017B2"/>
    <w:rsid w:val="0060193A"/>
    <w:rsid w:val="00601F2A"/>
    <w:rsid w:val="00602AC8"/>
    <w:rsid w:val="0060315A"/>
    <w:rsid w:val="00605CFE"/>
    <w:rsid w:val="00605F04"/>
    <w:rsid w:val="00606367"/>
    <w:rsid w:val="006066D6"/>
    <w:rsid w:val="00607A83"/>
    <w:rsid w:val="00610EDC"/>
    <w:rsid w:val="00611974"/>
    <w:rsid w:val="00611CE7"/>
    <w:rsid w:val="00612314"/>
    <w:rsid w:val="006139D5"/>
    <w:rsid w:val="00614F99"/>
    <w:rsid w:val="006156CF"/>
    <w:rsid w:val="006159D7"/>
    <w:rsid w:val="0061663D"/>
    <w:rsid w:val="00616727"/>
    <w:rsid w:val="00617A36"/>
    <w:rsid w:val="00621ABC"/>
    <w:rsid w:val="00622B8E"/>
    <w:rsid w:val="00622F9C"/>
    <w:rsid w:val="006231C8"/>
    <w:rsid w:val="0062419E"/>
    <w:rsid w:val="00624927"/>
    <w:rsid w:val="00624D1E"/>
    <w:rsid w:val="006260F8"/>
    <w:rsid w:val="0062690D"/>
    <w:rsid w:val="0062741C"/>
    <w:rsid w:val="00627E27"/>
    <w:rsid w:val="006303AD"/>
    <w:rsid w:val="00630A73"/>
    <w:rsid w:val="00630AD1"/>
    <w:rsid w:val="00630E92"/>
    <w:rsid w:val="00631810"/>
    <w:rsid w:val="00632FF7"/>
    <w:rsid w:val="006347BA"/>
    <w:rsid w:val="006360C8"/>
    <w:rsid w:val="0063624B"/>
    <w:rsid w:val="00636849"/>
    <w:rsid w:val="00636FAE"/>
    <w:rsid w:val="00636FE5"/>
    <w:rsid w:val="00641C49"/>
    <w:rsid w:val="0064467E"/>
    <w:rsid w:val="00644C7C"/>
    <w:rsid w:val="0064649D"/>
    <w:rsid w:val="00646723"/>
    <w:rsid w:val="00646C86"/>
    <w:rsid w:val="00646E5A"/>
    <w:rsid w:val="006472C7"/>
    <w:rsid w:val="0065025B"/>
    <w:rsid w:val="00650927"/>
    <w:rsid w:val="0065207A"/>
    <w:rsid w:val="00652AD5"/>
    <w:rsid w:val="00652C3C"/>
    <w:rsid w:val="00653452"/>
    <w:rsid w:val="00653655"/>
    <w:rsid w:val="00653D40"/>
    <w:rsid w:val="00654302"/>
    <w:rsid w:val="006549BE"/>
    <w:rsid w:val="0065742C"/>
    <w:rsid w:val="0065784B"/>
    <w:rsid w:val="00657F13"/>
    <w:rsid w:val="00661A7C"/>
    <w:rsid w:val="00661EFD"/>
    <w:rsid w:val="00662685"/>
    <w:rsid w:val="00662E8C"/>
    <w:rsid w:val="00663BB1"/>
    <w:rsid w:val="00663FA6"/>
    <w:rsid w:val="006648EC"/>
    <w:rsid w:val="00664A03"/>
    <w:rsid w:val="00666C01"/>
    <w:rsid w:val="00666F67"/>
    <w:rsid w:val="00667450"/>
    <w:rsid w:val="0067023B"/>
    <w:rsid w:val="006719F5"/>
    <w:rsid w:val="00671AE3"/>
    <w:rsid w:val="0067250E"/>
    <w:rsid w:val="00672C78"/>
    <w:rsid w:val="0067327D"/>
    <w:rsid w:val="00674267"/>
    <w:rsid w:val="006745B3"/>
    <w:rsid w:val="00674F20"/>
    <w:rsid w:val="00675220"/>
    <w:rsid w:val="00675336"/>
    <w:rsid w:val="00676A8A"/>
    <w:rsid w:val="006775F4"/>
    <w:rsid w:val="00677897"/>
    <w:rsid w:val="00677C4E"/>
    <w:rsid w:val="006804E4"/>
    <w:rsid w:val="00680ABD"/>
    <w:rsid w:val="00680E2D"/>
    <w:rsid w:val="00681B78"/>
    <w:rsid w:val="00681C2E"/>
    <w:rsid w:val="00682E29"/>
    <w:rsid w:val="0068348C"/>
    <w:rsid w:val="00685883"/>
    <w:rsid w:val="00685FA3"/>
    <w:rsid w:val="00686230"/>
    <w:rsid w:val="006863BF"/>
    <w:rsid w:val="006866F2"/>
    <w:rsid w:val="00686A96"/>
    <w:rsid w:val="00686E6E"/>
    <w:rsid w:val="00686EC3"/>
    <w:rsid w:val="00686FD2"/>
    <w:rsid w:val="0068748C"/>
    <w:rsid w:val="00687952"/>
    <w:rsid w:val="006906FA"/>
    <w:rsid w:val="00690D66"/>
    <w:rsid w:val="00690F38"/>
    <w:rsid w:val="006913A2"/>
    <w:rsid w:val="0069195F"/>
    <w:rsid w:val="0069239B"/>
    <w:rsid w:val="00692A03"/>
    <w:rsid w:val="006948D6"/>
    <w:rsid w:val="00694A81"/>
    <w:rsid w:val="00694E3B"/>
    <w:rsid w:val="006950B3"/>
    <w:rsid w:val="006958D6"/>
    <w:rsid w:val="00696165"/>
    <w:rsid w:val="0069775A"/>
    <w:rsid w:val="006A12F4"/>
    <w:rsid w:val="006A1796"/>
    <w:rsid w:val="006A1CD4"/>
    <w:rsid w:val="006A2E25"/>
    <w:rsid w:val="006A422F"/>
    <w:rsid w:val="006A4816"/>
    <w:rsid w:val="006A541A"/>
    <w:rsid w:val="006A645F"/>
    <w:rsid w:val="006B0710"/>
    <w:rsid w:val="006B1035"/>
    <w:rsid w:val="006B12F5"/>
    <w:rsid w:val="006B17E8"/>
    <w:rsid w:val="006B279E"/>
    <w:rsid w:val="006B29D8"/>
    <w:rsid w:val="006B31D9"/>
    <w:rsid w:val="006B35B1"/>
    <w:rsid w:val="006B387C"/>
    <w:rsid w:val="006B3B40"/>
    <w:rsid w:val="006B45C0"/>
    <w:rsid w:val="006B55D9"/>
    <w:rsid w:val="006B59A0"/>
    <w:rsid w:val="006B6237"/>
    <w:rsid w:val="006B7DA7"/>
    <w:rsid w:val="006C008E"/>
    <w:rsid w:val="006C03B1"/>
    <w:rsid w:val="006C082C"/>
    <w:rsid w:val="006C1252"/>
    <w:rsid w:val="006C1541"/>
    <w:rsid w:val="006C171F"/>
    <w:rsid w:val="006C1BE1"/>
    <w:rsid w:val="006C1E88"/>
    <w:rsid w:val="006C2550"/>
    <w:rsid w:val="006C2950"/>
    <w:rsid w:val="006C403F"/>
    <w:rsid w:val="006C40C5"/>
    <w:rsid w:val="006C420A"/>
    <w:rsid w:val="006C450A"/>
    <w:rsid w:val="006C4AB5"/>
    <w:rsid w:val="006C529C"/>
    <w:rsid w:val="006C7786"/>
    <w:rsid w:val="006D1A46"/>
    <w:rsid w:val="006D21C9"/>
    <w:rsid w:val="006D2865"/>
    <w:rsid w:val="006D2F6F"/>
    <w:rsid w:val="006D30A8"/>
    <w:rsid w:val="006D3ED2"/>
    <w:rsid w:val="006D3FFF"/>
    <w:rsid w:val="006D414A"/>
    <w:rsid w:val="006D4B0D"/>
    <w:rsid w:val="006D569B"/>
    <w:rsid w:val="006D5BEC"/>
    <w:rsid w:val="006D706F"/>
    <w:rsid w:val="006D7B1F"/>
    <w:rsid w:val="006E0205"/>
    <w:rsid w:val="006E1906"/>
    <w:rsid w:val="006E4342"/>
    <w:rsid w:val="006E4445"/>
    <w:rsid w:val="006E4564"/>
    <w:rsid w:val="006E488C"/>
    <w:rsid w:val="006E4DD7"/>
    <w:rsid w:val="006E4F27"/>
    <w:rsid w:val="006E4FC9"/>
    <w:rsid w:val="006E5D67"/>
    <w:rsid w:val="006E69E0"/>
    <w:rsid w:val="006E6E39"/>
    <w:rsid w:val="006E7B03"/>
    <w:rsid w:val="006F00D1"/>
    <w:rsid w:val="006F00D8"/>
    <w:rsid w:val="006F1C25"/>
    <w:rsid w:val="006F2ADF"/>
    <w:rsid w:val="006F3E43"/>
    <w:rsid w:val="006F4192"/>
    <w:rsid w:val="006F4A2D"/>
    <w:rsid w:val="006F50C6"/>
    <w:rsid w:val="006F515E"/>
    <w:rsid w:val="006F5372"/>
    <w:rsid w:val="006F62CE"/>
    <w:rsid w:val="006F6E57"/>
    <w:rsid w:val="006F7653"/>
    <w:rsid w:val="006F76AB"/>
    <w:rsid w:val="006F7E18"/>
    <w:rsid w:val="007009F8"/>
    <w:rsid w:val="007019E8"/>
    <w:rsid w:val="00702079"/>
    <w:rsid w:val="0070278F"/>
    <w:rsid w:val="00702DFE"/>
    <w:rsid w:val="007038BF"/>
    <w:rsid w:val="00703C4D"/>
    <w:rsid w:val="00705DAE"/>
    <w:rsid w:val="00706C7E"/>
    <w:rsid w:val="007105A1"/>
    <w:rsid w:val="0071122D"/>
    <w:rsid w:val="00711B8D"/>
    <w:rsid w:val="007126AC"/>
    <w:rsid w:val="007133F2"/>
    <w:rsid w:val="00713D8C"/>
    <w:rsid w:val="00714BFC"/>
    <w:rsid w:val="007152CE"/>
    <w:rsid w:val="0071552B"/>
    <w:rsid w:val="00715EF6"/>
    <w:rsid w:val="00716A15"/>
    <w:rsid w:val="00717A00"/>
    <w:rsid w:val="00720268"/>
    <w:rsid w:val="00720558"/>
    <w:rsid w:val="0072139F"/>
    <w:rsid w:val="00721677"/>
    <w:rsid w:val="0072205B"/>
    <w:rsid w:val="0072234A"/>
    <w:rsid w:val="00722434"/>
    <w:rsid w:val="00722B64"/>
    <w:rsid w:val="007234C3"/>
    <w:rsid w:val="007247B6"/>
    <w:rsid w:val="0072519E"/>
    <w:rsid w:val="007252ED"/>
    <w:rsid w:val="00725E23"/>
    <w:rsid w:val="00726F2F"/>
    <w:rsid w:val="00727683"/>
    <w:rsid w:val="007279C3"/>
    <w:rsid w:val="007300C1"/>
    <w:rsid w:val="0073062C"/>
    <w:rsid w:val="00730FBB"/>
    <w:rsid w:val="007313CA"/>
    <w:rsid w:val="007329F0"/>
    <w:rsid w:val="00734016"/>
    <w:rsid w:val="00734286"/>
    <w:rsid w:val="0073444A"/>
    <w:rsid w:val="007344E0"/>
    <w:rsid w:val="007405F3"/>
    <w:rsid w:val="0074141E"/>
    <w:rsid w:val="007415CB"/>
    <w:rsid w:val="00741DA1"/>
    <w:rsid w:val="00742297"/>
    <w:rsid w:val="007422AA"/>
    <w:rsid w:val="007431DB"/>
    <w:rsid w:val="00744695"/>
    <w:rsid w:val="00745059"/>
    <w:rsid w:val="007451E5"/>
    <w:rsid w:val="00746CAE"/>
    <w:rsid w:val="007475BD"/>
    <w:rsid w:val="00747602"/>
    <w:rsid w:val="007478A5"/>
    <w:rsid w:val="007502D8"/>
    <w:rsid w:val="00750EDC"/>
    <w:rsid w:val="00751123"/>
    <w:rsid w:val="007535E7"/>
    <w:rsid w:val="007573D1"/>
    <w:rsid w:val="007578CC"/>
    <w:rsid w:val="0076094B"/>
    <w:rsid w:val="00760F9A"/>
    <w:rsid w:val="0076136B"/>
    <w:rsid w:val="00762B8C"/>
    <w:rsid w:val="00762FAA"/>
    <w:rsid w:val="00763D09"/>
    <w:rsid w:val="00763ECE"/>
    <w:rsid w:val="00763F01"/>
    <w:rsid w:val="007641D6"/>
    <w:rsid w:val="00764A10"/>
    <w:rsid w:val="007664EB"/>
    <w:rsid w:val="007670A4"/>
    <w:rsid w:val="0076711A"/>
    <w:rsid w:val="007676FE"/>
    <w:rsid w:val="00767CA3"/>
    <w:rsid w:val="007707E0"/>
    <w:rsid w:val="007709CA"/>
    <w:rsid w:val="00771090"/>
    <w:rsid w:val="0077216A"/>
    <w:rsid w:val="00772800"/>
    <w:rsid w:val="007732AD"/>
    <w:rsid w:val="00773445"/>
    <w:rsid w:val="00773726"/>
    <w:rsid w:val="00774204"/>
    <w:rsid w:val="007752DC"/>
    <w:rsid w:val="00775F74"/>
    <w:rsid w:val="00775F86"/>
    <w:rsid w:val="007779B3"/>
    <w:rsid w:val="00780009"/>
    <w:rsid w:val="00780363"/>
    <w:rsid w:val="00781688"/>
    <w:rsid w:val="00781FA9"/>
    <w:rsid w:val="00782597"/>
    <w:rsid w:val="00782782"/>
    <w:rsid w:val="00782A8C"/>
    <w:rsid w:val="00783D9B"/>
    <w:rsid w:val="00783EF5"/>
    <w:rsid w:val="007842C8"/>
    <w:rsid w:val="00785912"/>
    <w:rsid w:val="0078606A"/>
    <w:rsid w:val="0078768B"/>
    <w:rsid w:val="00787B82"/>
    <w:rsid w:val="00790255"/>
    <w:rsid w:val="007932D2"/>
    <w:rsid w:val="007940B2"/>
    <w:rsid w:val="00794DB1"/>
    <w:rsid w:val="00795AB5"/>
    <w:rsid w:val="00795F7D"/>
    <w:rsid w:val="00796306"/>
    <w:rsid w:val="00797E60"/>
    <w:rsid w:val="007A01CC"/>
    <w:rsid w:val="007A0568"/>
    <w:rsid w:val="007A132A"/>
    <w:rsid w:val="007A1534"/>
    <w:rsid w:val="007A219B"/>
    <w:rsid w:val="007A2471"/>
    <w:rsid w:val="007A2B37"/>
    <w:rsid w:val="007A34FD"/>
    <w:rsid w:val="007A488E"/>
    <w:rsid w:val="007A4AAB"/>
    <w:rsid w:val="007A4E89"/>
    <w:rsid w:val="007A5F3B"/>
    <w:rsid w:val="007A641C"/>
    <w:rsid w:val="007A737D"/>
    <w:rsid w:val="007A738E"/>
    <w:rsid w:val="007A79B8"/>
    <w:rsid w:val="007A79FA"/>
    <w:rsid w:val="007B1639"/>
    <w:rsid w:val="007B2389"/>
    <w:rsid w:val="007B3851"/>
    <w:rsid w:val="007B3EBE"/>
    <w:rsid w:val="007B66AF"/>
    <w:rsid w:val="007B763E"/>
    <w:rsid w:val="007C07EE"/>
    <w:rsid w:val="007C0980"/>
    <w:rsid w:val="007C119A"/>
    <w:rsid w:val="007C11A3"/>
    <w:rsid w:val="007C12E0"/>
    <w:rsid w:val="007C4C02"/>
    <w:rsid w:val="007C4D52"/>
    <w:rsid w:val="007C513A"/>
    <w:rsid w:val="007C60B2"/>
    <w:rsid w:val="007C64FD"/>
    <w:rsid w:val="007C66ED"/>
    <w:rsid w:val="007C70EB"/>
    <w:rsid w:val="007D01F6"/>
    <w:rsid w:val="007D0591"/>
    <w:rsid w:val="007D1018"/>
    <w:rsid w:val="007D2333"/>
    <w:rsid w:val="007D24F6"/>
    <w:rsid w:val="007D29DB"/>
    <w:rsid w:val="007D2C12"/>
    <w:rsid w:val="007D375A"/>
    <w:rsid w:val="007D3909"/>
    <w:rsid w:val="007D3EF4"/>
    <w:rsid w:val="007D4CEC"/>
    <w:rsid w:val="007D69D5"/>
    <w:rsid w:val="007D6DA5"/>
    <w:rsid w:val="007D6FA9"/>
    <w:rsid w:val="007D77D6"/>
    <w:rsid w:val="007E03E3"/>
    <w:rsid w:val="007E1164"/>
    <w:rsid w:val="007E1F57"/>
    <w:rsid w:val="007E3273"/>
    <w:rsid w:val="007E364A"/>
    <w:rsid w:val="007E3DCE"/>
    <w:rsid w:val="007E5C7F"/>
    <w:rsid w:val="007E7515"/>
    <w:rsid w:val="007E7C9E"/>
    <w:rsid w:val="007F0885"/>
    <w:rsid w:val="007F14DC"/>
    <w:rsid w:val="007F192C"/>
    <w:rsid w:val="007F30E7"/>
    <w:rsid w:val="007F499D"/>
    <w:rsid w:val="007F4B72"/>
    <w:rsid w:val="007F5D4F"/>
    <w:rsid w:val="00802702"/>
    <w:rsid w:val="008032F2"/>
    <w:rsid w:val="00803501"/>
    <w:rsid w:val="0080380A"/>
    <w:rsid w:val="0080390C"/>
    <w:rsid w:val="00805312"/>
    <w:rsid w:val="00805F8B"/>
    <w:rsid w:val="008060D4"/>
    <w:rsid w:val="00806B5D"/>
    <w:rsid w:val="00807651"/>
    <w:rsid w:val="008079D6"/>
    <w:rsid w:val="00807DAE"/>
    <w:rsid w:val="00807E2A"/>
    <w:rsid w:val="00807FB6"/>
    <w:rsid w:val="008101F0"/>
    <w:rsid w:val="008102E4"/>
    <w:rsid w:val="00810F5A"/>
    <w:rsid w:val="00811984"/>
    <w:rsid w:val="0081237D"/>
    <w:rsid w:val="00812C69"/>
    <w:rsid w:val="008135D1"/>
    <w:rsid w:val="00813EE7"/>
    <w:rsid w:val="008141AC"/>
    <w:rsid w:val="0081502D"/>
    <w:rsid w:val="00815C5C"/>
    <w:rsid w:val="00816002"/>
    <w:rsid w:val="00816454"/>
    <w:rsid w:val="00816952"/>
    <w:rsid w:val="00817041"/>
    <w:rsid w:val="00817089"/>
    <w:rsid w:val="0081762A"/>
    <w:rsid w:val="00820044"/>
    <w:rsid w:val="008206E6"/>
    <w:rsid w:val="008206EA"/>
    <w:rsid w:val="00823E24"/>
    <w:rsid w:val="00823F06"/>
    <w:rsid w:val="00824E8C"/>
    <w:rsid w:val="00824FA4"/>
    <w:rsid w:val="00825F00"/>
    <w:rsid w:val="00826434"/>
    <w:rsid w:val="0082647D"/>
    <w:rsid w:val="00826AF2"/>
    <w:rsid w:val="00826DBC"/>
    <w:rsid w:val="00827D18"/>
    <w:rsid w:val="008304A5"/>
    <w:rsid w:val="00831240"/>
    <w:rsid w:val="00833689"/>
    <w:rsid w:val="0083479D"/>
    <w:rsid w:val="00834A97"/>
    <w:rsid w:val="008359AA"/>
    <w:rsid w:val="00836F1F"/>
    <w:rsid w:val="00840351"/>
    <w:rsid w:val="00840696"/>
    <w:rsid w:val="00840BAF"/>
    <w:rsid w:val="00842475"/>
    <w:rsid w:val="00842D48"/>
    <w:rsid w:val="008431E6"/>
    <w:rsid w:val="00843299"/>
    <w:rsid w:val="008435AD"/>
    <w:rsid w:val="00843DFE"/>
    <w:rsid w:val="008445F3"/>
    <w:rsid w:val="008456E5"/>
    <w:rsid w:val="00845ADE"/>
    <w:rsid w:val="0084650D"/>
    <w:rsid w:val="00846CD6"/>
    <w:rsid w:val="008504C0"/>
    <w:rsid w:val="008504ED"/>
    <w:rsid w:val="008511F9"/>
    <w:rsid w:val="00853C5E"/>
    <w:rsid w:val="00853D6D"/>
    <w:rsid w:val="008548A9"/>
    <w:rsid w:val="0085569F"/>
    <w:rsid w:val="008566E2"/>
    <w:rsid w:val="00856FCD"/>
    <w:rsid w:val="0085713D"/>
    <w:rsid w:val="00857B44"/>
    <w:rsid w:val="00857EE8"/>
    <w:rsid w:val="008601DD"/>
    <w:rsid w:val="0086075A"/>
    <w:rsid w:val="00860BC1"/>
    <w:rsid w:val="008614DC"/>
    <w:rsid w:val="008618BC"/>
    <w:rsid w:val="00862358"/>
    <w:rsid w:val="00865778"/>
    <w:rsid w:val="00866FEE"/>
    <w:rsid w:val="00870166"/>
    <w:rsid w:val="00870EE6"/>
    <w:rsid w:val="008713D9"/>
    <w:rsid w:val="00871B37"/>
    <w:rsid w:val="008732C1"/>
    <w:rsid w:val="008734A4"/>
    <w:rsid w:val="00874279"/>
    <w:rsid w:val="008742C4"/>
    <w:rsid w:val="00874DEE"/>
    <w:rsid w:val="00875632"/>
    <w:rsid w:val="00875BD9"/>
    <w:rsid w:val="00875DD0"/>
    <w:rsid w:val="008763D7"/>
    <w:rsid w:val="00877155"/>
    <w:rsid w:val="0087734D"/>
    <w:rsid w:val="00877721"/>
    <w:rsid w:val="00881359"/>
    <w:rsid w:val="008815F2"/>
    <w:rsid w:val="00881DD8"/>
    <w:rsid w:val="00883653"/>
    <w:rsid w:val="00883712"/>
    <w:rsid w:val="00884B70"/>
    <w:rsid w:val="00885AFA"/>
    <w:rsid w:val="00887078"/>
    <w:rsid w:val="008873B1"/>
    <w:rsid w:val="00887620"/>
    <w:rsid w:val="00887CCF"/>
    <w:rsid w:val="00890529"/>
    <w:rsid w:val="00890546"/>
    <w:rsid w:val="008909CB"/>
    <w:rsid w:val="00891B35"/>
    <w:rsid w:val="00892652"/>
    <w:rsid w:val="00892C0C"/>
    <w:rsid w:val="008938AA"/>
    <w:rsid w:val="00894662"/>
    <w:rsid w:val="00895AA3"/>
    <w:rsid w:val="00895AF5"/>
    <w:rsid w:val="0089631E"/>
    <w:rsid w:val="0089636A"/>
    <w:rsid w:val="00896ACA"/>
    <w:rsid w:val="00896CCE"/>
    <w:rsid w:val="00896E7A"/>
    <w:rsid w:val="00897134"/>
    <w:rsid w:val="0089755A"/>
    <w:rsid w:val="008975BB"/>
    <w:rsid w:val="00897C37"/>
    <w:rsid w:val="008A133B"/>
    <w:rsid w:val="008A36F4"/>
    <w:rsid w:val="008A4A64"/>
    <w:rsid w:val="008A5D07"/>
    <w:rsid w:val="008A6E87"/>
    <w:rsid w:val="008A7BEB"/>
    <w:rsid w:val="008B12C5"/>
    <w:rsid w:val="008B163D"/>
    <w:rsid w:val="008B1C96"/>
    <w:rsid w:val="008B2C82"/>
    <w:rsid w:val="008B33AF"/>
    <w:rsid w:val="008B4A6E"/>
    <w:rsid w:val="008B4E75"/>
    <w:rsid w:val="008B572B"/>
    <w:rsid w:val="008B5F39"/>
    <w:rsid w:val="008B7666"/>
    <w:rsid w:val="008B779A"/>
    <w:rsid w:val="008C0ED0"/>
    <w:rsid w:val="008C1007"/>
    <w:rsid w:val="008C1DAD"/>
    <w:rsid w:val="008C2840"/>
    <w:rsid w:val="008C4136"/>
    <w:rsid w:val="008C4AEE"/>
    <w:rsid w:val="008C4FEC"/>
    <w:rsid w:val="008C5551"/>
    <w:rsid w:val="008C7DE9"/>
    <w:rsid w:val="008D0935"/>
    <w:rsid w:val="008D0D06"/>
    <w:rsid w:val="008D0F72"/>
    <w:rsid w:val="008D1D19"/>
    <w:rsid w:val="008D1E47"/>
    <w:rsid w:val="008D3437"/>
    <w:rsid w:val="008D3F7D"/>
    <w:rsid w:val="008D4452"/>
    <w:rsid w:val="008D4A48"/>
    <w:rsid w:val="008D4CE8"/>
    <w:rsid w:val="008D4DDA"/>
    <w:rsid w:val="008D5BCC"/>
    <w:rsid w:val="008D6355"/>
    <w:rsid w:val="008D638B"/>
    <w:rsid w:val="008D67A4"/>
    <w:rsid w:val="008D7837"/>
    <w:rsid w:val="008E0856"/>
    <w:rsid w:val="008E0CA9"/>
    <w:rsid w:val="008E21C2"/>
    <w:rsid w:val="008E2C32"/>
    <w:rsid w:val="008E3173"/>
    <w:rsid w:val="008E40A6"/>
    <w:rsid w:val="008E4429"/>
    <w:rsid w:val="008E54ED"/>
    <w:rsid w:val="008E6B59"/>
    <w:rsid w:val="008E715A"/>
    <w:rsid w:val="008E7188"/>
    <w:rsid w:val="008E7257"/>
    <w:rsid w:val="008E749D"/>
    <w:rsid w:val="008F073F"/>
    <w:rsid w:val="008F0A8C"/>
    <w:rsid w:val="008F0E74"/>
    <w:rsid w:val="008F1BB9"/>
    <w:rsid w:val="008F2DB3"/>
    <w:rsid w:val="008F33B4"/>
    <w:rsid w:val="008F3F29"/>
    <w:rsid w:val="008F4121"/>
    <w:rsid w:val="008F4987"/>
    <w:rsid w:val="008F4CD9"/>
    <w:rsid w:val="008F54ED"/>
    <w:rsid w:val="008F69A4"/>
    <w:rsid w:val="008F7600"/>
    <w:rsid w:val="008F7E80"/>
    <w:rsid w:val="00900DDD"/>
    <w:rsid w:val="00902215"/>
    <w:rsid w:val="0090328D"/>
    <w:rsid w:val="0090355F"/>
    <w:rsid w:val="00904199"/>
    <w:rsid w:val="009047A0"/>
    <w:rsid w:val="009048D6"/>
    <w:rsid w:val="00905C5B"/>
    <w:rsid w:val="00905EF5"/>
    <w:rsid w:val="009063AE"/>
    <w:rsid w:val="00906ECE"/>
    <w:rsid w:val="00907424"/>
    <w:rsid w:val="00907F88"/>
    <w:rsid w:val="00910FEF"/>
    <w:rsid w:val="00911BC6"/>
    <w:rsid w:val="0091269A"/>
    <w:rsid w:val="009126FB"/>
    <w:rsid w:val="009127DE"/>
    <w:rsid w:val="0091290E"/>
    <w:rsid w:val="00914D7D"/>
    <w:rsid w:val="00914D7F"/>
    <w:rsid w:val="00914E1E"/>
    <w:rsid w:val="009156F4"/>
    <w:rsid w:val="0091583E"/>
    <w:rsid w:val="00915940"/>
    <w:rsid w:val="00917FF4"/>
    <w:rsid w:val="009205C8"/>
    <w:rsid w:val="009208D3"/>
    <w:rsid w:val="00920D51"/>
    <w:rsid w:val="009212C3"/>
    <w:rsid w:val="009213A3"/>
    <w:rsid w:val="009220AC"/>
    <w:rsid w:val="0092233A"/>
    <w:rsid w:val="00922706"/>
    <w:rsid w:val="00923B98"/>
    <w:rsid w:val="00923C33"/>
    <w:rsid w:val="0092401F"/>
    <w:rsid w:val="00930287"/>
    <w:rsid w:val="009314AA"/>
    <w:rsid w:val="009325CD"/>
    <w:rsid w:val="00932FBF"/>
    <w:rsid w:val="00933AD5"/>
    <w:rsid w:val="0093476F"/>
    <w:rsid w:val="00934EEE"/>
    <w:rsid w:val="0093571B"/>
    <w:rsid w:val="00936227"/>
    <w:rsid w:val="00936931"/>
    <w:rsid w:val="00936A62"/>
    <w:rsid w:val="0093776E"/>
    <w:rsid w:val="00937FF7"/>
    <w:rsid w:val="00940533"/>
    <w:rsid w:val="00941499"/>
    <w:rsid w:val="00941686"/>
    <w:rsid w:val="00942A9B"/>
    <w:rsid w:val="009460E7"/>
    <w:rsid w:val="00946502"/>
    <w:rsid w:val="00950243"/>
    <w:rsid w:val="009517A5"/>
    <w:rsid w:val="00953168"/>
    <w:rsid w:val="00953549"/>
    <w:rsid w:val="00954AB9"/>
    <w:rsid w:val="00954FBF"/>
    <w:rsid w:val="009564D5"/>
    <w:rsid w:val="00956898"/>
    <w:rsid w:val="00956B79"/>
    <w:rsid w:val="00956C0E"/>
    <w:rsid w:val="00957148"/>
    <w:rsid w:val="0095734B"/>
    <w:rsid w:val="0095743E"/>
    <w:rsid w:val="0096075A"/>
    <w:rsid w:val="00960C97"/>
    <w:rsid w:val="00961902"/>
    <w:rsid w:val="00962705"/>
    <w:rsid w:val="00962827"/>
    <w:rsid w:val="00962CA4"/>
    <w:rsid w:val="00963059"/>
    <w:rsid w:val="00963B4F"/>
    <w:rsid w:val="00964174"/>
    <w:rsid w:val="00964ABC"/>
    <w:rsid w:val="00964D11"/>
    <w:rsid w:val="0096688A"/>
    <w:rsid w:val="009669E8"/>
    <w:rsid w:val="00966AD4"/>
    <w:rsid w:val="00966C95"/>
    <w:rsid w:val="009671D3"/>
    <w:rsid w:val="009704FE"/>
    <w:rsid w:val="00970E92"/>
    <w:rsid w:val="009715F6"/>
    <w:rsid w:val="00971D02"/>
    <w:rsid w:val="00972588"/>
    <w:rsid w:val="009728A1"/>
    <w:rsid w:val="00973223"/>
    <w:rsid w:val="00973E25"/>
    <w:rsid w:val="009741BA"/>
    <w:rsid w:val="00974851"/>
    <w:rsid w:val="009749A8"/>
    <w:rsid w:val="00976DCE"/>
    <w:rsid w:val="00980002"/>
    <w:rsid w:val="00981D10"/>
    <w:rsid w:val="00982AA6"/>
    <w:rsid w:val="00983D20"/>
    <w:rsid w:val="00984DA8"/>
    <w:rsid w:val="00985684"/>
    <w:rsid w:val="00986189"/>
    <w:rsid w:val="00986B16"/>
    <w:rsid w:val="00986C31"/>
    <w:rsid w:val="009902C4"/>
    <w:rsid w:val="0099033D"/>
    <w:rsid w:val="00990ABC"/>
    <w:rsid w:val="009929B6"/>
    <w:rsid w:val="00992F28"/>
    <w:rsid w:val="00993558"/>
    <w:rsid w:val="009941F7"/>
    <w:rsid w:val="0099574A"/>
    <w:rsid w:val="009A0351"/>
    <w:rsid w:val="009A049B"/>
    <w:rsid w:val="009A0DA2"/>
    <w:rsid w:val="009A1437"/>
    <w:rsid w:val="009A168D"/>
    <w:rsid w:val="009A1FC0"/>
    <w:rsid w:val="009A3709"/>
    <w:rsid w:val="009A383B"/>
    <w:rsid w:val="009A3C08"/>
    <w:rsid w:val="009A4137"/>
    <w:rsid w:val="009A45BB"/>
    <w:rsid w:val="009A4D8F"/>
    <w:rsid w:val="009A5684"/>
    <w:rsid w:val="009A568B"/>
    <w:rsid w:val="009A5765"/>
    <w:rsid w:val="009A57A9"/>
    <w:rsid w:val="009A5C61"/>
    <w:rsid w:val="009A6F05"/>
    <w:rsid w:val="009A74A9"/>
    <w:rsid w:val="009B0E4E"/>
    <w:rsid w:val="009B0F45"/>
    <w:rsid w:val="009B2FE8"/>
    <w:rsid w:val="009B3F0F"/>
    <w:rsid w:val="009B4EAA"/>
    <w:rsid w:val="009B4F49"/>
    <w:rsid w:val="009B4FA4"/>
    <w:rsid w:val="009B58B2"/>
    <w:rsid w:val="009B6386"/>
    <w:rsid w:val="009B6CF9"/>
    <w:rsid w:val="009B706C"/>
    <w:rsid w:val="009B7174"/>
    <w:rsid w:val="009C1500"/>
    <w:rsid w:val="009C2428"/>
    <w:rsid w:val="009C2A34"/>
    <w:rsid w:val="009C32F7"/>
    <w:rsid w:val="009C40FF"/>
    <w:rsid w:val="009C561E"/>
    <w:rsid w:val="009C7579"/>
    <w:rsid w:val="009C7869"/>
    <w:rsid w:val="009D04A8"/>
    <w:rsid w:val="009D0D15"/>
    <w:rsid w:val="009D0DF7"/>
    <w:rsid w:val="009D0E05"/>
    <w:rsid w:val="009D17B7"/>
    <w:rsid w:val="009D2F8F"/>
    <w:rsid w:val="009D302A"/>
    <w:rsid w:val="009D479F"/>
    <w:rsid w:val="009D5CA4"/>
    <w:rsid w:val="009D60BB"/>
    <w:rsid w:val="009D7CF5"/>
    <w:rsid w:val="009E1296"/>
    <w:rsid w:val="009E1C6D"/>
    <w:rsid w:val="009E1D2D"/>
    <w:rsid w:val="009E2280"/>
    <w:rsid w:val="009E2383"/>
    <w:rsid w:val="009E24D7"/>
    <w:rsid w:val="009E2614"/>
    <w:rsid w:val="009E2EBB"/>
    <w:rsid w:val="009E2F5B"/>
    <w:rsid w:val="009E3CC2"/>
    <w:rsid w:val="009E444E"/>
    <w:rsid w:val="009E4EFE"/>
    <w:rsid w:val="009E50F7"/>
    <w:rsid w:val="009E5918"/>
    <w:rsid w:val="009E6731"/>
    <w:rsid w:val="009E6AEA"/>
    <w:rsid w:val="009E6E42"/>
    <w:rsid w:val="009E714B"/>
    <w:rsid w:val="009E7760"/>
    <w:rsid w:val="009E7B11"/>
    <w:rsid w:val="009F052C"/>
    <w:rsid w:val="009F057C"/>
    <w:rsid w:val="009F08EC"/>
    <w:rsid w:val="009F0ACE"/>
    <w:rsid w:val="009F1AE3"/>
    <w:rsid w:val="009F23DF"/>
    <w:rsid w:val="009F2541"/>
    <w:rsid w:val="009F3B7B"/>
    <w:rsid w:val="009F402B"/>
    <w:rsid w:val="009F4869"/>
    <w:rsid w:val="009F4E3C"/>
    <w:rsid w:val="009F512E"/>
    <w:rsid w:val="009F5E12"/>
    <w:rsid w:val="009F5F27"/>
    <w:rsid w:val="00A00E73"/>
    <w:rsid w:val="00A0106E"/>
    <w:rsid w:val="00A0256C"/>
    <w:rsid w:val="00A02F02"/>
    <w:rsid w:val="00A03836"/>
    <w:rsid w:val="00A05A9D"/>
    <w:rsid w:val="00A05DE1"/>
    <w:rsid w:val="00A0642C"/>
    <w:rsid w:val="00A07D3D"/>
    <w:rsid w:val="00A07E20"/>
    <w:rsid w:val="00A10745"/>
    <w:rsid w:val="00A11350"/>
    <w:rsid w:val="00A116C1"/>
    <w:rsid w:val="00A117F4"/>
    <w:rsid w:val="00A13508"/>
    <w:rsid w:val="00A13D1E"/>
    <w:rsid w:val="00A14978"/>
    <w:rsid w:val="00A15EC3"/>
    <w:rsid w:val="00A16511"/>
    <w:rsid w:val="00A16E90"/>
    <w:rsid w:val="00A17A84"/>
    <w:rsid w:val="00A20D89"/>
    <w:rsid w:val="00A21D62"/>
    <w:rsid w:val="00A21F20"/>
    <w:rsid w:val="00A247BB"/>
    <w:rsid w:val="00A24B9F"/>
    <w:rsid w:val="00A25218"/>
    <w:rsid w:val="00A25AEB"/>
    <w:rsid w:val="00A25B18"/>
    <w:rsid w:val="00A266B0"/>
    <w:rsid w:val="00A2771C"/>
    <w:rsid w:val="00A316B5"/>
    <w:rsid w:val="00A324E1"/>
    <w:rsid w:val="00A339CF"/>
    <w:rsid w:val="00A33B7B"/>
    <w:rsid w:val="00A34BEC"/>
    <w:rsid w:val="00A35B83"/>
    <w:rsid w:val="00A35BF8"/>
    <w:rsid w:val="00A35C83"/>
    <w:rsid w:val="00A36563"/>
    <w:rsid w:val="00A36AE3"/>
    <w:rsid w:val="00A36FD7"/>
    <w:rsid w:val="00A37EEE"/>
    <w:rsid w:val="00A402A1"/>
    <w:rsid w:val="00A42183"/>
    <w:rsid w:val="00A42689"/>
    <w:rsid w:val="00A44065"/>
    <w:rsid w:val="00A45284"/>
    <w:rsid w:val="00A45487"/>
    <w:rsid w:val="00A459FE"/>
    <w:rsid w:val="00A46CE1"/>
    <w:rsid w:val="00A478A6"/>
    <w:rsid w:val="00A50A91"/>
    <w:rsid w:val="00A50CAF"/>
    <w:rsid w:val="00A511F8"/>
    <w:rsid w:val="00A51EDB"/>
    <w:rsid w:val="00A54B49"/>
    <w:rsid w:val="00A57152"/>
    <w:rsid w:val="00A575FE"/>
    <w:rsid w:val="00A57C3B"/>
    <w:rsid w:val="00A60332"/>
    <w:rsid w:val="00A60EDD"/>
    <w:rsid w:val="00A60FD4"/>
    <w:rsid w:val="00A62927"/>
    <w:rsid w:val="00A63D1D"/>
    <w:rsid w:val="00A6533F"/>
    <w:rsid w:val="00A657EF"/>
    <w:rsid w:val="00A700FF"/>
    <w:rsid w:val="00A7188F"/>
    <w:rsid w:val="00A71949"/>
    <w:rsid w:val="00A728D9"/>
    <w:rsid w:val="00A72EFD"/>
    <w:rsid w:val="00A7309D"/>
    <w:rsid w:val="00A73440"/>
    <w:rsid w:val="00A7391F"/>
    <w:rsid w:val="00A74640"/>
    <w:rsid w:val="00A7507E"/>
    <w:rsid w:val="00A80DA8"/>
    <w:rsid w:val="00A8215B"/>
    <w:rsid w:val="00A825EF"/>
    <w:rsid w:val="00A82BC3"/>
    <w:rsid w:val="00A83BCC"/>
    <w:rsid w:val="00A853C9"/>
    <w:rsid w:val="00A855D5"/>
    <w:rsid w:val="00A86066"/>
    <w:rsid w:val="00A86492"/>
    <w:rsid w:val="00A864E9"/>
    <w:rsid w:val="00A869B9"/>
    <w:rsid w:val="00A86D6D"/>
    <w:rsid w:val="00A87A35"/>
    <w:rsid w:val="00A87EC6"/>
    <w:rsid w:val="00A91822"/>
    <w:rsid w:val="00A9364F"/>
    <w:rsid w:val="00A937AE"/>
    <w:rsid w:val="00A93A0D"/>
    <w:rsid w:val="00A94268"/>
    <w:rsid w:val="00A942DA"/>
    <w:rsid w:val="00A94A9D"/>
    <w:rsid w:val="00A94E08"/>
    <w:rsid w:val="00A95EB9"/>
    <w:rsid w:val="00A96171"/>
    <w:rsid w:val="00A974D6"/>
    <w:rsid w:val="00A97EB9"/>
    <w:rsid w:val="00AA0105"/>
    <w:rsid w:val="00AA218B"/>
    <w:rsid w:val="00AA21DF"/>
    <w:rsid w:val="00AA23A7"/>
    <w:rsid w:val="00AA2577"/>
    <w:rsid w:val="00AA2A0A"/>
    <w:rsid w:val="00AA2C8C"/>
    <w:rsid w:val="00AA2DC8"/>
    <w:rsid w:val="00AA33C4"/>
    <w:rsid w:val="00AA4E6B"/>
    <w:rsid w:val="00AA4EFC"/>
    <w:rsid w:val="00AA58A5"/>
    <w:rsid w:val="00AA58BC"/>
    <w:rsid w:val="00AA590A"/>
    <w:rsid w:val="00AA6326"/>
    <w:rsid w:val="00AA6AE2"/>
    <w:rsid w:val="00AA74C2"/>
    <w:rsid w:val="00AB0112"/>
    <w:rsid w:val="00AB0528"/>
    <w:rsid w:val="00AB05C7"/>
    <w:rsid w:val="00AB063C"/>
    <w:rsid w:val="00AB0B00"/>
    <w:rsid w:val="00AB0C5B"/>
    <w:rsid w:val="00AB17D9"/>
    <w:rsid w:val="00AB3D0B"/>
    <w:rsid w:val="00AB404E"/>
    <w:rsid w:val="00AB475F"/>
    <w:rsid w:val="00AB4882"/>
    <w:rsid w:val="00AB48CA"/>
    <w:rsid w:val="00AB58A9"/>
    <w:rsid w:val="00AB62C8"/>
    <w:rsid w:val="00AB7982"/>
    <w:rsid w:val="00AC1776"/>
    <w:rsid w:val="00AC1B31"/>
    <w:rsid w:val="00AC2CC5"/>
    <w:rsid w:val="00AC310C"/>
    <w:rsid w:val="00AC3A4D"/>
    <w:rsid w:val="00AC3A64"/>
    <w:rsid w:val="00AC5794"/>
    <w:rsid w:val="00AC7C70"/>
    <w:rsid w:val="00AD0F34"/>
    <w:rsid w:val="00AD18A2"/>
    <w:rsid w:val="00AD1F14"/>
    <w:rsid w:val="00AD3193"/>
    <w:rsid w:val="00AD3357"/>
    <w:rsid w:val="00AD362E"/>
    <w:rsid w:val="00AD389F"/>
    <w:rsid w:val="00AD4931"/>
    <w:rsid w:val="00AD565F"/>
    <w:rsid w:val="00AD5C38"/>
    <w:rsid w:val="00AD5EC6"/>
    <w:rsid w:val="00AD66E0"/>
    <w:rsid w:val="00AD6BD0"/>
    <w:rsid w:val="00AD784F"/>
    <w:rsid w:val="00AD799D"/>
    <w:rsid w:val="00AD7BDB"/>
    <w:rsid w:val="00AE05EB"/>
    <w:rsid w:val="00AE0714"/>
    <w:rsid w:val="00AE1444"/>
    <w:rsid w:val="00AE1A72"/>
    <w:rsid w:val="00AE1D4D"/>
    <w:rsid w:val="00AE2096"/>
    <w:rsid w:val="00AE30AE"/>
    <w:rsid w:val="00AE3631"/>
    <w:rsid w:val="00AE36E2"/>
    <w:rsid w:val="00AE385D"/>
    <w:rsid w:val="00AE462C"/>
    <w:rsid w:val="00AE6212"/>
    <w:rsid w:val="00AE638A"/>
    <w:rsid w:val="00AE6772"/>
    <w:rsid w:val="00AE71FD"/>
    <w:rsid w:val="00AE731C"/>
    <w:rsid w:val="00AE79C9"/>
    <w:rsid w:val="00AF0702"/>
    <w:rsid w:val="00AF0800"/>
    <w:rsid w:val="00AF19E5"/>
    <w:rsid w:val="00AF2302"/>
    <w:rsid w:val="00AF37A3"/>
    <w:rsid w:val="00AF3BAC"/>
    <w:rsid w:val="00AF650D"/>
    <w:rsid w:val="00AF6DA2"/>
    <w:rsid w:val="00AF7D38"/>
    <w:rsid w:val="00B001DC"/>
    <w:rsid w:val="00B003E0"/>
    <w:rsid w:val="00B0173E"/>
    <w:rsid w:val="00B01B09"/>
    <w:rsid w:val="00B0203A"/>
    <w:rsid w:val="00B020B3"/>
    <w:rsid w:val="00B0388D"/>
    <w:rsid w:val="00B038F7"/>
    <w:rsid w:val="00B03B09"/>
    <w:rsid w:val="00B03B0B"/>
    <w:rsid w:val="00B040F4"/>
    <w:rsid w:val="00B0442E"/>
    <w:rsid w:val="00B04E5D"/>
    <w:rsid w:val="00B052BA"/>
    <w:rsid w:val="00B055BF"/>
    <w:rsid w:val="00B06C9F"/>
    <w:rsid w:val="00B07063"/>
    <w:rsid w:val="00B071CA"/>
    <w:rsid w:val="00B1009C"/>
    <w:rsid w:val="00B102CB"/>
    <w:rsid w:val="00B103C0"/>
    <w:rsid w:val="00B1172C"/>
    <w:rsid w:val="00B11C8A"/>
    <w:rsid w:val="00B11D37"/>
    <w:rsid w:val="00B124DB"/>
    <w:rsid w:val="00B12AFF"/>
    <w:rsid w:val="00B1337E"/>
    <w:rsid w:val="00B14998"/>
    <w:rsid w:val="00B1499D"/>
    <w:rsid w:val="00B14A0C"/>
    <w:rsid w:val="00B15099"/>
    <w:rsid w:val="00B154AD"/>
    <w:rsid w:val="00B16B7C"/>
    <w:rsid w:val="00B16BDC"/>
    <w:rsid w:val="00B16C8D"/>
    <w:rsid w:val="00B17134"/>
    <w:rsid w:val="00B175FB"/>
    <w:rsid w:val="00B2011C"/>
    <w:rsid w:val="00B20762"/>
    <w:rsid w:val="00B20D27"/>
    <w:rsid w:val="00B20E15"/>
    <w:rsid w:val="00B20E85"/>
    <w:rsid w:val="00B2223A"/>
    <w:rsid w:val="00B22320"/>
    <w:rsid w:val="00B223B5"/>
    <w:rsid w:val="00B2293D"/>
    <w:rsid w:val="00B23048"/>
    <w:rsid w:val="00B233DB"/>
    <w:rsid w:val="00B233EE"/>
    <w:rsid w:val="00B23683"/>
    <w:rsid w:val="00B25099"/>
    <w:rsid w:val="00B264B6"/>
    <w:rsid w:val="00B2668E"/>
    <w:rsid w:val="00B267FB"/>
    <w:rsid w:val="00B27864"/>
    <w:rsid w:val="00B305A1"/>
    <w:rsid w:val="00B30DAD"/>
    <w:rsid w:val="00B31BAC"/>
    <w:rsid w:val="00B323DE"/>
    <w:rsid w:val="00B3501F"/>
    <w:rsid w:val="00B35A34"/>
    <w:rsid w:val="00B35D0C"/>
    <w:rsid w:val="00B36B24"/>
    <w:rsid w:val="00B36C74"/>
    <w:rsid w:val="00B40082"/>
    <w:rsid w:val="00B40445"/>
    <w:rsid w:val="00B408F7"/>
    <w:rsid w:val="00B42B04"/>
    <w:rsid w:val="00B42DC0"/>
    <w:rsid w:val="00B42EB4"/>
    <w:rsid w:val="00B4409F"/>
    <w:rsid w:val="00B44987"/>
    <w:rsid w:val="00B45EDB"/>
    <w:rsid w:val="00B4795C"/>
    <w:rsid w:val="00B5097F"/>
    <w:rsid w:val="00B51072"/>
    <w:rsid w:val="00B526B2"/>
    <w:rsid w:val="00B52712"/>
    <w:rsid w:val="00B528C9"/>
    <w:rsid w:val="00B53E1C"/>
    <w:rsid w:val="00B55BBC"/>
    <w:rsid w:val="00B56265"/>
    <w:rsid w:val="00B56B87"/>
    <w:rsid w:val="00B571D5"/>
    <w:rsid w:val="00B61731"/>
    <w:rsid w:val="00B62F25"/>
    <w:rsid w:val="00B62FD3"/>
    <w:rsid w:val="00B630DC"/>
    <w:rsid w:val="00B6362A"/>
    <w:rsid w:val="00B6394B"/>
    <w:rsid w:val="00B63A82"/>
    <w:rsid w:val="00B70197"/>
    <w:rsid w:val="00B7123A"/>
    <w:rsid w:val="00B72289"/>
    <w:rsid w:val="00B728FF"/>
    <w:rsid w:val="00B72AD2"/>
    <w:rsid w:val="00B72F67"/>
    <w:rsid w:val="00B73E28"/>
    <w:rsid w:val="00B74202"/>
    <w:rsid w:val="00B74771"/>
    <w:rsid w:val="00B74844"/>
    <w:rsid w:val="00B75147"/>
    <w:rsid w:val="00B75673"/>
    <w:rsid w:val="00B75995"/>
    <w:rsid w:val="00B75AB3"/>
    <w:rsid w:val="00B770F0"/>
    <w:rsid w:val="00B800EA"/>
    <w:rsid w:val="00B80209"/>
    <w:rsid w:val="00B8095E"/>
    <w:rsid w:val="00B81A98"/>
    <w:rsid w:val="00B8252B"/>
    <w:rsid w:val="00B835DD"/>
    <w:rsid w:val="00B851CA"/>
    <w:rsid w:val="00B8543D"/>
    <w:rsid w:val="00B857A8"/>
    <w:rsid w:val="00B857D3"/>
    <w:rsid w:val="00B85AAA"/>
    <w:rsid w:val="00B86CAF"/>
    <w:rsid w:val="00B87326"/>
    <w:rsid w:val="00B87B02"/>
    <w:rsid w:val="00B90007"/>
    <w:rsid w:val="00B9045E"/>
    <w:rsid w:val="00B907B1"/>
    <w:rsid w:val="00B90840"/>
    <w:rsid w:val="00B90D6F"/>
    <w:rsid w:val="00B91144"/>
    <w:rsid w:val="00B9201E"/>
    <w:rsid w:val="00B922E6"/>
    <w:rsid w:val="00B9261D"/>
    <w:rsid w:val="00B92A4A"/>
    <w:rsid w:val="00B92F19"/>
    <w:rsid w:val="00B932E3"/>
    <w:rsid w:val="00B936F4"/>
    <w:rsid w:val="00B941C4"/>
    <w:rsid w:val="00B94A34"/>
    <w:rsid w:val="00B94CE5"/>
    <w:rsid w:val="00B956D4"/>
    <w:rsid w:val="00B961E1"/>
    <w:rsid w:val="00B96347"/>
    <w:rsid w:val="00B97865"/>
    <w:rsid w:val="00B97D70"/>
    <w:rsid w:val="00BA11C7"/>
    <w:rsid w:val="00BA2934"/>
    <w:rsid w:val="00BA29C8"/>
    <w:rsid w:val="00BA2B02"/>
    <w:rsid w:val="00BA4E95"/>
    <w:rsid w:val="00BA5445"/>
    <w:rsid w:val="00BA6219"/>
    <w:rsid w:val="00BA6322"/>
    <w:rsid w:val="00BA6469"/>
    <w:rsid w:val="00BA73B9"/>
    <w:rsid w:val="00BA7F16"/>
    <w:rsid w:val="00BB000B"/>
    <w:rsid w:val="00BB1973"/>
    <w:rsid w:val="00BB1996"/>
    <w:rsid w:val="00BB1DF4"/>
    <w:rsid w:val="00BB39AF"/>
    <w:rsid w:val="00BB3B59"/>
    <w:rsid w:val="00BB3E53"/>
    <w:rsid w:val="00BB4F00"/>
    <w:rsid w:val="00BB4F99"/>
    <w:rsid w:val="00BB520A"/>
    <w:rsid w:val="00BB59A9"/>
    <w:rsid w:val="00BB6376"/>
    <w:rsid w:val="00BB6D19"/>
    <w:rsid w:val="00BB74D3"/>
    <w:rsid w:val="00BB77F7"/>
    <w:rsid w:val="00BC1716"/>
    <w:rsid w:val="00BC1B44"/>
    <w:rsid w:val="00BC2455"/>
    <w:rsid w:val="00BC24B9"/>
    <w:rsid w:val="00BC287D"/>
    <w:rsid w:val="00BC2DF1"/>
    <w:rsid w:val="00BC37EC"/>
    <w:rsid w:val="00BC3A8D"/>
    <w:rsid w:val="00BC3F90"/>
    <w:rsid w:val="00BC419C"/>
    <w:rsid w:val="00BC489B"/>
    <w:rsid w:val="00BC5231"/>
    <w:rsid w:val="00BC55F9"/>
    <w:rsid w:val="00BC5BDC"/>
    <w:rsid w:val="00BC5C8F"/>
    <w:rsid w:val="00BC6A3F"/>
    <w:rsid w:val="00BC7598"/>
    <w:rsid w:val="00BC793F"/>
    <w:rsid w:val="00BC7C37"/>
    <w:rsid w:val="00BD0E6D"/>
    <w:rsid w:val="00BD100D"/>
    <w:rsid w:val="00BD1243"/>
    <w:rsid w:val="00BD23D9"/>
    <w:rsid w:val="00BD259F"/>
    <w:rsid w:val="00BD35B2"/>
    <w:rsid w:val="00BD3C3C"/>
    <w:rsid w:val="00BD3CAF"/>
    <w:rsid w:val="00BD4F5C"/>
    <w:rsid w:val="00BD5508"/>
    <w:rsid w:val="00BD57A2"/>
    <w:rsid w:val="00BD5BCB"/>
    <w:rsid w:val="00BD5E51"/>
    <w:rsid w:val="00BD5E72"/>
    <w:rsid w:val="00BD636E"/>
    <w:rsid w:val="00BD6A99"/>
    <w:rsid w:val="00BD79EA"/>
    <w:rsid w:val="00BD7CEE"/>
    <w:rsid w:val="00BD7D0A"/>
    <w:rsid w:val="00BD7F7E"/>
    <w:rsid w:val="00BE015C"/>
    <w:rsid w:val="00BE01C8"/>
    <w:rsid w:val="00BE03CF"/>
    <w:rsid w:val="00BE0EBB"/>
    <w:rsid w:val="00BE1D03"/>
    <w:rsid w:val="00BE284C"/>
    <w:rsid w:val="00BE33FF"/>
    <w:rsid w:val="00BE411E"/>
    <w:rsid w:val="00BE4C49"/>
    <w:rsid w:val="00BE581C"/>
    <w:rsid w:val="00BF0165"/>
    <w:rsid w:val="00BF0959"/>
    <w:rsid w:val="00BF1063"/>
    <w:rsid w:val="00BF1AD4"/>
    <w:rsid w:val="00BF1E9A"/>
    <w:rsid w:val="00BF256B"/>
    <w:rsid w:val="00BF2B7D"/>
    <w:rsid w:val="00BF2D01"/>
    <w:rsid w:val="00BF3E86"/>
    <w:rsid w:val="00BF3FC1"/>
    <w:rsid w:val="00BF462E"/>
    <w:rsid w:val="00BF4B8F"/>
    <w:rsid w:val="00BF5807"/>
    <w:rsid w:val="00C0019F"/>
    <w:rsid w:val="00C012DD"/>
    <w:rsid w:val="00C015F4"/>
    <w:rsid w:val="00C01C0F"/>
    <w:rsid w:val="00C02000"/>
    <w:rsid w:val="00C02322"/>
    <w:rsid w:val="00C02F2B"/>
    <w:rsid w:val="00C02F53"/>
    <w:rsid w:val="00C03282"/>
    <w:rsid w:val="00C05375"/>
    <w:rsid w:val="00C0571D"/>
    <w:rsid w:val="00C058DE"/>
    <w:rsid w:val="00C06002"/>
    <w:rsid w:val="00C06C26"/>
    <w:rsid w:val="00C06F86"/>
    <w:rsid w:val="00C1003E"/>
    <w:rsid w:val="00C11955"/>
    <w:rsid w:val="00C11BDD"/>
    <w:rsid w:val="00C120B0"/>
    <w:rsid w:val="00C12347"/>
    <w:rsid w:val="00C130D0"/>
    <w:rsid w:val="00C13309"/>
    <w:rsid w:val="00C142E4"/>
    <w:rsid w:val="00C146D3"/>
    <w:rsid w:val="00C14C34"/>
    <w:rsid w:val="00C15C9D"/>
    <w:rsid w:val="00C162A5"/>
    <w:rsid w:val="00C167D9"/>
    <w:rsid w:val="00C16B00"/>
    <w:rsid w:val="00C16E17"/>
    <w:rsid w:val="00C17346"/>
    <w:rsid w:val="00C1739F"/>
    <w:rsid w:val="00C175C6"/>
    <w:rsid w:val="00C1762E"/>
    <w:rsid w:val="00C17C2E"/>
    <w:rsid w:val="00C17F74"/>
    <w:rsid w:val="00C20409"/>
    <w:rsid w:val="00C206D2"/>
    <w:rsid w:val="00C2081B"/>
    <w:rsid w:val="00C20A24"/>
    <w:rsid w:val="00C20C6B"/>
    <w:rsid w:val="00C21DF0"/>
    <w:rsid w:val="00C22513"/>
    <w:rsid w:val="00C23449"/>
    <w:rsid w:val="00C2353D"/>
    <w:rsid w:val="00C24538"/>
    <w:rsid w:val="00C25654"/>
    <w:rsid w:val="00C25905"/>
    <w:rsid w:val="00C25AEF"/>
    <w:rsid w:val="00C25E1B"/>
    <w:rsid w:val="00C26D33"/>
    <w:rsid w:val="00C27C96"/>
    <w:rsid w:val="00C3041F"/>
    <w:rsid w:val="00C30C03"/>
    <w:rsid w:val="00C30F5D"/>
    <w:rsid w:val="00C3107C"/>
    <w:rsid w:val="00C31202"/>
    <w:rsid w:val="00C3256B"/>
    <w:rsid w:val="00C333A9"/>
    <w:rsid w:val="00C33D1B"/>
    <w:rsid w:val="00C355D6"/>
    <w:rsid w:val="00C35F9D"/>
    <w:rsid w:val="00C36202"/>
    <w:rsid w:val="00C40174"/>
    <w:rsid w:val="00C40496"/>
    <w:rsid w:val="00C40588"/>
    <w:rsid w:val="00C41105"/>
    <w:rsid w:val="00C41E0C"/>
    <w:rsid w:val="00C420BC"/>
    <w:rsid w:val="00C445D8"/>
    <w:rsid w:val="00C45117"/>
    <w:rsid w:val="00C45580"/>
    <w:rsid w:val="00C45A4D"/>
    <w:rsid w:val="00C47A86"/>
    <w:rsid w:val="00C52538"/>
    <w:rsid w:val="00C52604"/>
    <w:rsid w:val="00C533D8"/>
    <w:rsid w:val="00C54431"/>
    <w:rsid w:val="00C54A63"/>
    <w:rsid w:val="00C55066"/>
    <w:rsid w:val="00C550A3"/>
    <w:rsid w:val="00C55552"/>
    <w:rsid w:val="00C55754"/>
    <w:rsid w:val="00C5659B"/>
    <w:rsid w:val="00C56B3B"/>
    <w:rsid w:val="00C579C4"/>
    <w:rsid w:val="00C57FFD"/>
    <w:rsid w:val="00C615CF"/>
    <w:rsid w:val="00C61988"/>
    <w:rsid w:val="00C623D4"/>
    <w:rsid w:val="00C62510"/>
    <w:rsid w:val="00C638E4"/>
    <w:rsid w:val="00C64009"/>
    <w:rsid w:val="00C656D0"/>
    <w:rsid w:val="00C6705C"/>
    <w:rsid w:val="00C67BA8"/>
    <w:rsid w:val="00C760B9"/>
    <w:rsid w:val="00C7719E"/>
    <w:rsid w:val="00C77A2A"/>
    <w:rsid w:val="00C77BC5"/>
    <w:rsid w:val="00C77E38"/>
    <w:rsid w:val="00C77FCE"/>
    <w:rsid w:val="00C800CC"/>
    <w:rsid w:val="00C80B66"/>
    <w:rsid w:val="00C80B72"/>
    <w:rsid w:val="00C81AC3"/>
    <w:rsid w:val="00C81CE1"/>
    <w:rsid w:val="00C82577"/>
    <w:rsid w:val="00C82665"/>
    <w:rsid w:val="00C82712"/>
    <w:rsid w:val="00C828F2"/>
    <w:rsid w:val="00C82AB8"/>
    <w:rsid w:val="00C8333A"/>
    <w:rsid w:val="00C8371E"/>
    <w:rsid w:val="00C845B0"/>
    <w:rsid w:val="00C84B24"/>
    <w:rsid w:val="00C852B0"/>
    <w:rsid w:val="00C85DA8"/>
    <w:rsid w:val="00C86C89"/>
    <w:rsid w:val="00C87E46"/>
    <w:rsid w:val="00C90FC1"/>
    <w:rsid w:val="00C91A8A"/>
    <w:rsid w:val="00C91B1A"/>
    <w:rsid w:val="00C92435"/>
    <w:rsid w:val="00C928E0"/>
    <w:rsid w:val="00C93538"/>
    <w:rsid w:val="00C939EA"/>
    <w:rsid w:val="00C94884"/>
    <w:rsid w:val="00C948BA"/>
    <w:rsid w:val="00C94B12"/>
    <w:rsid w:val="00C94B9D"/>
    <w:rsid w:val="00C95504"/>
    <w:rsid w:val="00C956B4"/>
    <w:rsid w:val="00C96175"/>
    <w:rsid w:val="00C96292"/>
    <w:rsid w:val="00C96F3F"/>
    <w:rsid w:val="00C97FB7"/>
    <w:rsid w:val="00CA075E"/>
    <w:rsid w:val="00CA0792"/>
    <w:rsid w:val="00CA1219"/>
    <w:rsid w:val="00CA1BEB"/>
    <w:rsid w:val="00CA1C59"/>
    <w:rsid w:val="00CA1DA5"/>
    <w:rsid w:val="00CA205A"/>
    <w:rsid w:val="00CA2EF7"/>
    <w:rsid w:val="00CA38EF"/>
    <w:rsid w:val="00CA41A6"/>
    <w:rsid w:val="00CA6180"/>
    <w:rsid w:val="00CA71B2"/>
    <w:rsid w:val="00CA760A"/>
    <w:rsid w:val="00CA796C"/>
    <w:rsid w:val="00CB04D7"/>
    <w:rsid w:val="00CB103B"/>
    <w:rsid w:val="00CB1F29"/>
    <w:rsid w:val="00CB3324"/>
    <w:rsid w:val="00CB38FE"/>
    <w:rsid w:val="00CB538D"/>
    <w:rsid w:val="00CB5F24"/>
    <w:rsid w:val="00CB6ABB"/>
    <w:rsid w:val="00CB6F19"/>
    <w:rsid w:val="00CC1070"/>
    <w:rsid w:val="00CC134B"/>
    <w:rsid w:val="00CC17D4"/>
    <w:rsid w:val="00CC4116"/>
    <w:rsid w:val="00CC5E19"/>
    <w:rsid w:val="00CD079C"/>
    <w:rsid w:val="00CD0D85"/>
    <w:rsid w:val="00CD1398"/>
    <w:rsid w:val="00CD22E1"/>
    <w:rsid w:val="00CD2EDA"/>
    <w:rsid w:val="00CD34DA"/>
    <w:rsid w:val="00CD3BD7"/>
    <w:rsid w:val="00CD3C25"/>
    <w:rsid w:val="00CD3C76"/>
    <w:rsid w:val="00CD3C7F"/>
    <w:rsid w:val="00CD3CF1"/>
    <w:rsid w:val="00CD4160"/>
    <w:rsid w:val="00CD44C1"/>
    <w:rsid w:val="00CD4B08"/>
    <w:rsid w:val="00CD4DEB"/>
    <w:rsid w:val="00CD5A6D"/>
    <w:rsid w:val="00CD6094"/>
    <w:rsid w:val="00CD65FE"/>
    <w:rsid w:val="00CD7D87"/>
    <w:rsid w:val="00CE0621"/>
    <w:rsid w:val="00CE084F"/>
    <w:rsid w:val="00CE0887"/>
    <w:rsid w:val="00CE09EC"/>
    <w:rsid w:val="00CE0AF8"/>
    <w:rsid w:val="00CE17CD"/>
    <w:rsid w:val="00CE23B9"/>
    <w:rsid w:val="00CE270B"/>
    <w:rsid w:val="00CE3130"/>
    <w:rsid w:val="00CE37CF"/>
    <w:rsid w:val="00CE4E5B"/>
    <w:rsid w:val="00CE770E"/>
    <w:rsid w:val="00CF0622"/>
    <w:rsid w:val="00CF0ED5"/>
    <w:rsid w:val="00CF0EDA"/>
    <w:rsid w:val="00CF2E1C"/>
    <w:rsid w:val="00CF2EF7"/>
    <w:rsid w:val="00CF3FAF"/>
    <w:rsid w:val="00CF43FE"/>
    <w:rsid w:val="00CF4AD6"/>
    <w:rsid w:val="00CF52B9"/>
    <w:rsid w:val="00CF58E1"/>
    <w:rsid w:val="00CF6474"/>
    <w:rsid w:val="00CF75B2"/>
    <w:rsid w:val="00CF7678"/>
    <w:rsid w:val="00D0025B"/>
    <w:rsid w:val="00D00B4D"/>
    <w:rsid w:val="00D00F5D"/>
    <w:rsid w:val="00D029D8"/>
    <w:rsid w:val="00D032F2"/>
    <w:rsid w:val="00D037C0"/>
    <w:rsid w:val="00D0394F"/>
    <w:rsid w:val="00D050B3"/>
    <w:rsid w:val="00D063BF"/>
    <w:rsid w:val="00D07656"/>
    <w:rsid w:val="00D10136"/>
    <w:rsid w:val="00D10659"/>
    <w:rsid w:val="00D1093B"/>
    <w:rsid w:val="00D10A78"/>
    <w:rsid w:val="00D10E9A"/>
    <w:rsid w:val="00D11214"/>
    <w:rsid w:val="00D114B2"/>
    <w:rsid w:val="00D11825"/>
    <w:rsid w:val="00D12072"/>
    <w:rsid w:val="00D122DC"/>
    <w:rsid w:val="00D1350D"/>
    <w:rsid w:val="00D144B8"/>
    <w:rsid w:val="00D148C2"/>
    <w:rsid w:val="00D14ACD"/>
    <w:rsid w:val="00D153B7"/>
    <w:rsid w:val="00D21F1C"/>
    <w:rsid w:val="00D21FEF"/>
    <w:rsid w:val="00D23509"/>
    <w:rsid w:val="00D23F59"/>
    <w:rsid w:val="00D2539E"/>
    <w:rsid w:val="00D26999"/>
    <w:rsid w:val="00D27D89"/>
    <w:rsid w:val="00D27E80"/>
    <w:rsid w:val="00D3030E"/>
    <w:rsid w:val="00D30C97"/>
    <w:rsid w:val="00D30EAD"/>
    <w:rsid w:val="00D313B5"/>
    <w:rsid w:val="00D31E2E"/>
    <w:rsid w:val="00D32296"/>
    <w:rsid w:val="00D32B95"/>
    <w:rsid w:val="00D33377"/>
    <w:rsid w:val="00D33CB3"/>
    <w:rsid w:val="00D33D6D"/>
    <w:rsid w:val="00D33F77"/>
    <w:rsid w:val="00D356A2"/>
    <w:rsid w:val="00D357D0"/>
    <w:rsid w:val="00D35B85"/>
    <w:rsid w:val="00D36270"/>
    <w:rsid w:val="00D36435"/>
    <w:rsid w:val="00D3677C"/>
    <w:rsid w:val="00D37053"/>
    <w:rsid w:val="00D40D96"/>
    <w:rsid w:val="00D40FAA"/>
    <w:rsid w:val="00D420E6"/>
    <w:rsid w:val="00D427E1"/>
    <w:rsid w:val="00D42C30"/>
    <w:rsid w:val="00D43388"/>
    <w:rsid w:val="00D43D7E"/>
    <w:rsid w:val="00D44FDA"/>
    <w:rsid w:val="00D45215"/>
    <w:rsid w:val="00D46846"/>
    <w:rsid w:val="00D46CF9"/>
    <w:rsid w:val="00D50B5B"/>
    <w:rsid w:val="00D50EE1"/>
    <w:rsid w:val="00D5292D"/>
    <w:rsid w:val="00D52F6D"/>
    <w:rsid w:val="00D53191"/>
    <w:rsid w:val="00D53496"/>
    <w:rsid w:val="00D534FE"/>
    <w:rsid w:val="00D53C56"/>
    <w:rsid w:val="00D5468A"/>
    <w:rsid w:val="00D5704F"/>
    <w:rsid w:val="00D570B3"/>
    <w:rsid w:val="00D60097"/>
    <w:rsid w:val="00D601B9"/>
    <w:rsid w:val="00D607B1"/>
    <w:rsid w:val="00D61232"/>
    <w:rsid w:val="00D6296F"/>
    <w:rsid w:val="00D62A22"/>
    <w:rsid w:val="00D62CFD"/>
    <w:rsid w:val="00D63706"/>
    <w:rsid w:val="00D63D08"/>
    <w:rsid w:val="00D64431"/>
    <w:rsid w:val="00D65EA2"/>
    <w:rsid w:val="00D66979"/>
    <w:rsid w:val="00D66D6B"/>
    <w:rsid w:val="00D676CE"/>
    <w:rsid w:val="00D73298"/>
    <w:rsid w:val="00D73980"/>
    <w:rsid w:val="00D74A76"/>
    <w:rsid w:val="00D7542C"/>
    <w:rsid w:val="00D75557"/>
    <w:rsid w:val="00D759F3"/>
    <w:rsid w:val="00D7611C"/>
    <w:rsid w:val="00D767EB"/>
    <w:rsid w:val="00D76867"/>
    <w:rsid w:val="00D776EC"/>
    <w:rsid w:val="00D802F7"/>
    <w:rsid w:val="00D8049B"/>
    <w:rsid w:val="00D811E6"/>
    <w:rsid w:val="00D81B14"/>
    <w:rsid w:val="00D839EF"/>
    <w:rsid w:val="00D84734"/>
    <w:rsid w:val="00D8489F"/>
    <w:rsid w:val="00D853EF"/>
    <w:rsid w:val="00D861B7"/>
    <w:rsid w:val="00D86F79"/>
    <w:rsid w:val="00D87B58"/>
    <w:rsid w:val="00D90B17"/>
    <w:rsid w:val="00D9253C"/>
    <w:rsid w:val="00D93BD6"/>
    <w:rsid w:val="00D95BBA"/>
    <w:rsid w:val="00D961E9"/>
    <w:rsid w:val="00D97614"/>
    <w:rsid w:val="00DA0F1E"/>
    <w:rsid w:val="00DA171C"/>
    <w:rsid w:val="00DA1969"/>
    <w:rsid w:val="00DA37DA"/>
    <w:rsid w:val="00DA3F4F"/>
    <w:rsid w:val="00DA5869"/>
    <w:rsid w:val="00DA6EC8"/>
    <w:rsid w:val="00DA739F"/>
    <w:rsid w:val="00DA747C"/>
    <w:rsid w:val="00DA7803"/>
    <w:rsid w:val="00DA7869"/>
    <w:rsid w:val="00DA7C12"/>
    <w:rsid w:val="00DB0540"/>
    <w:rsid w:val="00DB07A8"/>
    <w:rsid w:val="00DB082E"/>
    <w:rsid w:val="00DB091B"/>
    <w:rsid w:val="00DB0BB5"/>
    <w:rsid w:val="00DB0CF2"/>
    <w:rsid w:val="00DB2044"/>
    <w:rsid w:val="00DB22F7"/>
    <w:rsid w:val="00DB391C"/>
    <w:rsid w:val="00DB3AC8"/>
    <w:rsid w:val="00DB478C"/>
    <w:rsid w:val="00DB57A2"/>
    <w:rsid w:val="00DB6932"/>
    <w:rsid w:val="00DB69BF"/>
    <w:rsid w:val="00DB707E"/>
    <w:rsid w:val="00DB7388"/>
    <w:rsid w:val="00DC19C1"/>
    <w:rsid w:val="00DC1C66"/>
    <w:rsid w:val="00DC201E"/>
    <w:rsid w:val="00DC22C9"/>
    <w:rsid w:val="00DC38DA"/>
    <w:rsid w:val="00DC4BCF"/>
    <w:rsid w:val="00DC52D5"/>
    <w:rsid w:val="00DC5CC9"/>
    <w:rsid w:val="00DC5FEE"/>
    <w:rsid w:val="00DC6720"/>
    <w:rsid w:val="00DC7131"/>
    <w:rsid w:val="00DD0028"/>
    <w:rsid w:val="00DD15FA"/>
    <w:rsid w:val="00DD1A23"/>
    <w:rsid w:val="00DD21DA"/>
    <w:rsid w:val="00DD238C"/>
    <w:rsid w:val="00DD390F"/>
    <w:rsid w:val="00DD4019"/>
    <w:rsid w:val="00DD47FF"/>
    <w:rsid w:val="00DD4F44"/>
    <w:rsid w:val="00DD68D0"/>
    <w:rsid w:val="00DD7AB2"/>
    <w:rsid w:val="00DE0938"/>
    <w:rsid w:val="00DE0B09"/>
    <w:rsid w:val="00DE2E2E"/>
    <w:rsid w:val="00DE2F8D"/>
    <w:rsid w:val="00DE39D2"/>
    <w:rsid w:val="00DE3F3C"/>
    <w:rsid w:val="00DE559B"/>
    <w:rsid w:val="00DE57E3"/>
    <w:rsid w:val="00DE6678"/>
    <w:rsid w:val="00DE7567"/>
    <w:rsid w:val="00DE7EFB"/>
    <w:rsid w:val="00DF18BD"/>
    <w:rsid w:val="00DF1C7B"/>
    <w:rsid w:val="00DF1F50"/>
    <w:rsid w:val="00DF458B"/>
    <w:rsid w:val="00DF500E"/>
    <w:rsid w:val="00DF62B4"/>
    <w:rsid w:val="00DF6BA6"/>
    <w:rsid w:val="00DF6BAF"/>
    <w:rsid w:val="00DF6E60"/>
    <w:rsid w:val="00DF7539"/>
    <w:rsid w:val="00E004F8"/>
    <w:rsid w:val="00E00BD3"/>
    <w:rsid w:val="00E010EE"/>
    <w:rsid w:val="00E02D64"/>
    <w:rsid w:val="00E04286"/>
    <w:rsid w:val="00E04433"/>
    <w:rsid w:val="00E04F92"/>
    <w:rsid w:val="00E059A8"/>
    <w:rsid w:val="00E05FA1"/>
    <w:rsid w:val="00E06021"/>
    <w:rsid w:val="00E07652"/>
    <w:rsid w:val="00E07915"/>
    <w:rsid w:val="00E1048C"/>
    <w:rsid w:val="00E106F4"/>
    <w:rsid w:val="00E10832"/>
    <w:rsid w:val="00E10F0F"/>
    <w:rsid w:val="00E1150F"/>
    <w:rsid w:val="00E1157A"/>
    <w:rsid w:val="00E124F2"/>
    <w:rsid w:val="00E131C3"/>
    <w:rsid w:val="00E13F1C"/>
    <w:rsid w:val="00E1423E"/>
    <w:rsid w:val="00E146C9"/>
    <w:rsid w:val="00E14BEF"/>
    <w:rsid w:val="00E14DB1"/>
    <w:rsid w:val="00E15593"/>
    <w:rsid w:val="00E15756"/>
    <w:rsid w:val="00E173EF"/>
    <w:rsid w:val="00E20BB7"/>
    <w:rsid w:val="00E21019"/>
    <w:rsid w:val="00E22C61"/>
    <w:rsid w:val="00E25800"/>
    <w:rsid w:val="00E25D6A"/>
    <w:rsid w:val="00E276BC"/>
    <w:rsid w:val="00E2770D"/>
    <w:rsid w:val="00E279E6"/>
    <w:rsid w:val="00E27C10"/>
    <w:rsid w:val="00E27E2C"/>
    <w:rsid w:val="00E27FE9"/>
    <w:rsid w:val="00E30455"/>
    <w:rsid w:val="00E3085C"/>
    <w:rsid w:val="00E327AB"/>
    <w:rsid w:val="00E32D33"/>
    <w:rsid w:val="00E34404"/>
    <w:rsid w:val="00E34909"/>
    <w:rsid w:val="00E36306"/>
    <w:rsid w:val="00E365C7"/>
    <w:rsid w:val="00E36EBD"/>
    <w:rsid w:val="00E40CE5"/>
    <w:rsid w:val="00E4139F"/>
    <w:rsid w:val="00E41D31"/>
    <w:rsid w:val="00E41D72"/>
    <w:rsid w:val="00E4291F"/>
    <w:rsid w:val="00E42E08"/>
    <w:rsid w:val="00E437BF"/>
    <w:rsid w:val="00E44023"/>
    <w:rsid w:val="00E443B7"/>
    <w:rsid w:val="00E451EE"/>
    <w:rsid w:val="00E455A6"/>
    <w:rsid w:val="00E45E11"/>
    <w:rsid w:val="00E467D0"/>
    <w:rsid w:val="00E47185"/>
    <w:rsid w:val="00E5116E"/>
    <w:rsid w:val="00E51820"/>
    <w:rsid w:val="00E51B4C"/>
    <w:rsid w:val="00E5288D"/>
    <w:rsid w:val="00E52BD4"/>
    <w:rsid w:val="00E5437A"/>
    <w:rsid w:val="00E547A4"/>
    <w:rsid w:val="00E54ADB"/>
    <w:rsid w:val="00E54AF7"/>
    <w:rsid w:val="00E5688B"/>
    <w:rsid w:val="00E56ABA"/>
    <w:rsid w:val="00E57F02"/>
    <w:rsid w:val="00E60130"/>
    <w:rsid w:val="00E61CC5"/>
    <w:rsid w:val="00E62C18"/>
    <w:rsid w:val="00E62C78"/>
    <w:rsid w:val="00E63145"/>
    <w:rsid w:val="00E63BC3"/>
    <w:rsid w:val="00E6424E"/>
    <w:rsid w:val="00E642EA"/>
    <w:rsid w:val="00E6471B"/>
    <w:rsid w:val="00E65DB8"/>
    <w:rsid w:val="00E6604C"/>
    <w:rsid w:val="00E66712"/>
    <w:rsid w:val="00E66BA3"/>
    <w:rsid w:val="00E67650"/>
    <w:rsid w:val="00E67C24"/>
    <w:rsid w:val="00E71305"/>
    <w:rsid w:val="00E713B6"/>
    <w:rsid w:val="00E71722"/>
    <w:rsid w:val="00E72BA5"/>
    <w:rsid w:val="00E72F17"/>
    <w:rsid w:val="00E733F1"/>
    <w:rsid w:val="00E735B2"/>
    <w:rsid w:val="00E747E5"/>
    <w:rsid w:val="00E74AA1"/>
    <w:rsid w:val="00E75E16"/>
    <w:rsid w:val="00E76653"/>
    <w:rsid w:val="00E77A27"/>
    <w:rsid w:val="00E81B4C"/>
    <w:rsid w:val="00E8224A"/>
    <w:rsid w:val="00E835CF"/>
    <w:rsid w:val="00E85349"/>
    <w:rsid w:val="00E85502"/>
    <w:rsid w:val="00E86001"/>
    <w:rsid w:val="00E8798C"/>
    <w:rsid w:val="00E87BD1"/>
    <w:rsid w:val="00E9103F"/>
    <w:rsid w:val="00E9117B"/>
    <w:rsid w:val="00E91BB9"/>
    <w:rsid w:val="00E92440"/>
    <w:rsid w:val="00E92E01"/>
    <w:rsid w:val="00E9406B"/>
    <w:rsid w:val="00E94DBA"/>
    <w:rsid w:val="00E94F80"/>
    <w:rsid w:val="00E95CE1"/>
    <w:rsid w:val="00E967C8"/>
    <w:rsid w:val="00E96ECD"/>
    <w:rsid w:val="00E9704C"/>
    <w:rsid w:val="00EA07A2"/>
    <w:rsid w:val="00EA0E83"/>
    <w:rsid w:val="00EA1734"/>
    <w:rsid w:val="00EA275F"/>
    <w:rsid w:val="00EA2F56"/>
    <w:rsid w:val="00EA3C6C"/>
    <w:rsid w:val="00EA4082"/>
    <w:rsid w:val="00EA4DCF"/>
    <w:rsid w:val="00EA5920"/>
    <w:rsid w:val="00EA5D5E"/>
    <w:rsid w:val="00EA6918"/>
    <w:rsid w:val="00EA6D2A"/>
    <w:rsid w:val="00EA7941"/>
    <w:rsid w:val="00EB0416"/>
    <w:rsid w:val="00EB096A"/>
    <w:rsid w:val="00EB0B55"/>
    <w:rsid w:val="00EB1065"/>
    <w:rsid w:val="00EB1245"/>
    <w:rsid w:val="00EB18CC"/>
    <w:rsid w:val="00EB21D7"/>
    <w:rsid w:val="00EB308A"/>
    <w:rsid w:val="00EB5235"/>
    <w:rsid w:val="00EB5776"/>
    <w:rsid w:val="00EB6430"/>
    <w:rsid w:val="00EB6607"/>
    <w:rsid w:val="00EB6C5A"/>
    <w:rsid w:val="00EB7184"/>
    <w:rsid w:val="00EC03C8"/>
    <w:rsid w:val="00EC064A"/>
    <w:rsid w:val="00EC0E98"/>
    <w:rsid w:val="00EC116C"/>
    <w:rsid w:val="00EC1395"/>
    <w:rsid w:val="00EC1431"/>
    <w:rsid w:val="00EC1B3F"/>
    <w:rsid w:val="00EC20CC"/>
    <w:rsid w:val="00EC28A7"/>
    <w:rsid w:val="00EC306F"/>
    <w:rsid w:val="00EC31DF"/>
    <w:rsid w:val="00EC353D"/>
    <w:rsid w:val="00EC3CE4"/>
    <w:rsid w:val="00EC4555"/>
    <w:rsid w:val="00EC72A0"/>
    <w:rsid w:val="00EC79D2"/>
    <w:rsid w:val="00ED0902"/>
    <w:rsid w:val="00ED1D9B"/>
    <w:rsid w:val="00ED2005"/>
    <w:rsid w:val="00ED3564"/>
    <w:rsid w:val="00ED36A0"/>
    <w:rsid w:val="00ED388E"/>
    <w:rsid w:val="00ED4B9D"/>
    <w:rsid w:val="00ED6459"/>
    <w:rsid w:val="00ED7184"/>
    <w:rsid w:val="00EE0DB6"/>
    <w:rsid w:val="00EE0E59"/>
    <w:rsid w:val="00EE13B5"/>
    <w:rsid w:val="00EE1626"/>
    <w:rsid w:val="00EE18DA"/>
    <w:rsid w:val="00EE218D"/>
    <w:rsid w:val="00EE3230"/>
    <w:rsid w:val="00EE3537"/>
    <w:rsid w:val="00EE3F59"/>
    <w:rsid w:val="00EE4246"/>
    <w:rsid w:val="00EE552C"/>
    <w:rsid w:val="00EE5B42"/>
    <w:rsid w:val="00EE6168"/>
    <w:rsid w:val="00EE68A1"/>
    <w:rsid w:val="00EE6BB0"/>
    <w:rsid w:val="00EE75D5"/>
    <w:rsid w:val="00EE7A54"/>
    <w:rsid w:val="00EE7DF5"/>
    <w:rsid w:val="00EF07CD"/>
    <w:rsid w:val="00EF0A85"/>
    <w:rsid w:val="00EF0EB6"/>
    <w:rsid w:val="00EF10D6"/>
    <w:rsid w:val="00EF1E5E"/>
    <w:rsid w:val="00EF2777"/>
    <w:rsid w:val="00EF2B48"/>
    <w:rsid w:val="00EF2D7A"/>
    <w:rsid w:val="00EF2DAB"/>
    <w:rsid w:val="00EF3A12"/>
    <w:rsid w:val="00EF3E6F"/>
    <w:rsid w:val="00EF422E"/>
    <w:rsid w:val="00EF4FFB"/>
    <w:rsid w:val="00EF58D8"/>
    <w:rsid w:val="00EF5C79"/>
    <w:rsid w:val="00EF5C80"/>
    <w:rsid w:val="00F003FC"/>
    <w:rsid w:val="00F00C17"/>
    <w:rsid w:val="00F00E4F"/>
    <w:rsid w:val="00F0196D"/>
    <w:rsid w:val="00F041AA"/>
    <w:rsid w:val="00F04AFB"/>
    <w:rsid w:val="00F051F3"/>
    <w:rsid w:val="00F05C6F"/>
    <w:rsid w:val="00F06602"/>
    <w:rsid w:val="00F06DE4"/>
    <w:rsid w:val="00F10D21"/>
    <w:rsid w:val="00F1258B"/>
    <w:rsid w:val="00F127A8"/>
    <w:rsid w:val="00F13618"/>
    <w:rsid w:val="00F13E48"/>
    <w:rsid w:val="00F14B42"/>
    <w:rsid w:val="00F15423"/>
    <w:rsid w:val="00F15955"/>
    <w:rsid w:val="00F17037"/>
    <w:rsid w:val="00F17242"/>
    <w:rsid w:val="00F17AB1"/>
    <w:rsid w:val="00F17F2D"/>
    <w:rsid w:val="00F20FA2"/>
    <w:rsid w:val="00F21843"/>
    <w:rsid w:val="00F223EB"/>
    <w:rsid w:val="00F2268C"/>
    <w:rsid w:val="00F229F2"/>
    <w:rsid w:val="00F22F7E"/>
    <w:rsid w:val="00F240FF"/>
    <w:rsid w:val="00F249E9"/>
    <w:rsid w:val="00F24E73"/>
    <w:rsid w:val="00F26341"/>
    <w:rsid w:val="00F267DE"/>
    <w:rsid w:val="00F26A08"/>
    <w:rsid w:val="00F26CC1"/>
    <w:rsid w:val="00F27988"/>
    <w:rsid w:val="00F27E79"/>
    <w:rsid w:val="00F30E69"/>
    <w:rsid w:val="00F31A51"/>
    <w:rsid w:val="00F31EDA"/>
    <w:rsid w:val="00F32E24"/>
    <w:rsid w:val="00F33172"/>
    <w:rsid w:val="00F33512"/>
    <w:rsid w:val="00F33977"/>
    <w:rsid w:val="00F34103"/>
    <w:rsid w:val="00F349A7"/>
    <w:rsid w:val="00F349CD"/>
    <w:rsid w:val="00F34A56"/>
    <w:rsid w:val="00F36F5B"/>
    <w:rsid w:val="00F36FDD"/>
    <w:rsid w:val="00F3783C"/>
    <w:rsid w:val="00F378B6"/>
    <w:rsid w:val="00F402F7"/>
    <w:rsid w:val="00F41733"/>
    <w:rsid w:val="00F41A33"/>
    <w:rsid w:val="00F41DBE"/>
    <w:rsid w:val="00F420B5"/>
    <w:rsid w:val="00F42119"/>
    <w:rsid w:val="00F428CC"/>
    <w:rsid w:val="00F43A94"/>
    <w:rsid w:val="00F43F64"/>
    <w:rsid w:val="00F447DF"/>
    <w:rsid w:val="00F44A4F"/>
    <w:rsid w:val="00F44DD3"/>
    <w:rsid w:val="00F44FF7"/>
    <w:rsid w:val="00F47CEB"/>
    <w:rsid w:val="00F507DE"/>
    <w:rsid w:val="00F51C26"/>
    <w:rsid w:val="00F54207"/>
    <w:rsid w:val="00F542B9"/>
    <w:rsid w:val="00F54579"/>
    <w:rsid w:val="00F54885"/>
    <w:rsid w:val="00F548D3"/>
    <w:rsid w:val="00F54CA4"/>
    <w:rsid w:val="00F54E74"/>
    <w:rsid w:val="00F55385"/>
    <w:rsid w:val="00F56480"/>
    <w:rsid w:val="00F568E1"/>
    <w:rsid w:val="00F5769D"/>
    <w:rsid w:val="00F57783"/>
    <w:rsid w:val="00F578B0"/>
    <w:rsid w:val="00F57C26"/>
    <w:rsid w:val="00F60749"/>
    <w:rsid w:val="00F624D0"/>
    <w:rsid w:val="00F6365C"/>
    <w:rsid w:val="00F6385B"/>
    <w:rsid w:val="00F63A1F"/>
    <w:rsid w:val="00F641E5"/>
    <w:rsid w:val="00F64692"/>
    <w:rsid w:val="00F64A3B"/>
    <w:rsid w:val="00F64AA8"/>
    <w:rsid w:val="00F65ADC"/>
    <w:rsid w:val="00F65C08"/>
    <w:rsid w:val="00F65E13"/>
    <w:rsid w:val="00F67913"/>
    <w:rsid w:val="00F70D63"/>
    <w:rsid w:val="00F70F1B"/>
    <w:rsid w:val="00F7132A"/>
    <w:rsid w:val="00F71525"/>
    <w:rsid w:val="00F7257D"/>
    <w:rsid w:val="00F7269D"/>
    <w:rsid w:val="00F72DDE"/>
    <w:rsid w:val="00F72DF4"/>
    <w:rsid w:val="00F7343D"/>
    <w:rsid w:val="00F745DD"/>
    <w:rsid w:val="00F75C43"/>
    <w:rsid w:val="00F75C61"/>
    <w:rsid w:val="00F765AE"/>
    <w:rsid w:val="00F76753"/>
    <w:rsid w:val="00F76B83"/>
    <w:rsid w:val="00F77130"/>
    <w:rsid w:val="00F77473"/>
    <w:rsid w:val="00F7757C"/>
    <w:rsid w:val="00F77800"/>
    <w:rsid w:val="00F80945"/>
    <w:rsid w:val="00F80D74"/>
    <w:rsid w:val="00F80E08"/>
    <w:rsid w:val="00F80F86"/>
    <w:rsid w:val="00F81286"/>
    <w:rsid w:val="00F8189B"/>
    <w:rsid w:val="00F8196A"/>
    <w:rsid w:val="00F82647"/>
    <w:rsid w:val="00F82D8B"/>
    <w:rsid w:val="00F83970"/>
    <w:rsid w:val="00F853AC"/>
    <w:rsid w:val="00F85667"/>
    <w:rsid w:val="00F8683A"/>
    <w:rsid w:val="00F86DAD"/>
    <w:rsid w:val="00F91CD2"/>
    <w:rsid w:val="00F91F0B"/>
    <w:rsid w:val="00F92249"/>
    <w:rsid w:val="00F92A7B"/>
    <w:rsid w:val="00F92B67"/>
    <w:rsid w:val="00F92FEC"/>
    <w:rsid w:val="00F93366"/>
    <w:rsid w:val="00F9361E"/>
    <w:rsid w:val="00F93AF8"/>
    <w:rsid w:val="00F93E7E"/>
    <w:rsid w:val="00F93E9F"/>
    <w:rsid w:val="00F94AEE"/>
    <w:rsid w:val="00F95215"/>
    <w:rsid w:val="00F95D06"/>
    <w:rsid w:val="00F96011"/>
    <w:rsid w:val="00F96348"/>
    <w:rsid w:val="00F97245"/>
    <w:rsid w:val="00F97EA6"/>
    <w:rsid w:val="00FA04F4"/>
    <w:rsid w:val="00FA09EC"/>
    <w:rsid w:val="00FA0D96"/>
    <w:rsid w:val="00FA2385"/>
    <w:rsid w:val="00FA2ABC"/>
    <w:rsid w:val="00FA4759"/>
    <w:rsid w:val="00FA4A24"/>
    <w:rsid w:val="00FA4EF5"/>
    <w:rsid w:val="00FA515B"/>
    <w:rsid w:val="00FB0D73"/>
    <w:rsid w:val="00FB1361"/>
    <w:rsid w:val="00FB2469"/>
    <w:rsid w:val="00FB249D"/>
    <w:rsid w:val="00FB2F76"/>
    <w:rsid w:val="00FB41E3"/>
    <w:rsid w:val="00FB4358"/>
    <w:rsid w:val="00FB4651"/>
    <w:rsid w:val="00FB468D"/>
    <w:rsid w:val="00FB46A2"/>
    <w:rsid w:val="00FB58CE"/>
    <w:rsid w:val="00FB5A8E"/>
    <w:rsid w:val="00FB752F"/>
    <w:rsid w:val="00FC0010"/>
    <w:rsid w:val="00FC0DA5"/>
    <w:rsid w:val="00FC0E9A"/>
    <w:rsid w:val="00FC2BF9"/>
    <w:rsid w:val="00FC48A8"/>
    <w:rsid w:val="00FC5C6B"/>
    <w:rsid w:val="00FC64FC"/>
    <w:rsid w:val="00FC6AA6"/>
    <w:rsid w:val="00FC6F3B"/>
    <w:rsid w:val="00FC715C"/>
    <w:rsid w:val="00FC77DE"/>
    <w:rsid w:val="00FC7DDD"/>
    <w:rsid w:val="00FD0B00"/>
    <w:rsid w:val="00FD0DD7"/>
    <w:rsid w:val="00FD188F"/>
    <w:rsid w:val="00FD1F1E"/>
    <w:rsid w:val="00FD222C"/>
    <w:rsid w:val="00FD2466"/>
    <w:rsid w:val="00FD25E7"/>
    <w:rsid w:val="00FD3136"/>
    <w:rsid w:val="00FD34C3"/>
    <w:rsid w:val="00FD485C"/>
    <w:rsid w:val="00FD7A99"/>
    <w:rsid w:val="00FE02CE"/>
    <w:rsid w:val="00FE20D5"/>
    <w:rsid w:val="00FE2AD1"/>
    <w:rsid w:val="00FE2D46"/>
    <w:rsid w:val="00FE4826"/>
    <w:rsid w:val="00FE6838"/>
    <w:rsid w:val="00FF16B5"/>
    <w:rsid w:val="00FF17A3"/>
    <w:rsid w:val="00FF2372"/>
    <w:rsid w:val="00FF244B"/>
    <w:rsid w:val="00FF2FFB"/>
    <w:rsid w:val="00FF3E27"/>
    <w:rsid w:val="00FF4630"/>
    <w:rsid w:val="00FF50C3"/>
    <w:rsid w:val="00FF5B10"/>
    <w:rsid w:val="00FF5BD7"/>
    <w:rsid w:val="00FF5DBE"/>
    <w:rsid w:val="00FF6574"/>
    <w:rsid w:val="00FF68D6"/>
    <w:rsid w:val="00FF71B7"/>
    <w:rsid w:val="00FF753B"/>
    <w:rsid w:val="00FF77E3"/>
    <w:rsid w:val="6511600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68337F"/>
  <w15:docId w15:val="{59A080F2-4164-46B4-8555-03AA279E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FA09EC"/>
    <w:pPr>
      <w:keepNext/>
      <w:widowControl w:val="0"/>
      <w:numPr>
        <w:numId w:val="1"/>
      </w:numPr>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383B36"/>
    <w:pPr>
      <w:spacing w:before="160" w:after="100" w:line="240" w:lineRule="atLeast"/>
    </w:pPr>
    <w:rPr>
      <w:rFonts w:ascii="Arial" w:eastAsia="Calibri" w:hAnsi="Arial" w:cs="Arial"/>
      <w:sz w:val="23"/>
      <w:szCs w:val="23"/>
      <w:lang w:eastAsia="en-US"/>
    </w:rPr>
  </w:style>
  <w:style w:type="character" w:customStyle="1" w:styleId="BodyTextChar">
    <w:name w:val="Body Text Char"/>
    <w:basedOn w:val="DefaultParagraphFont"/>
    <w:link w:val="BodyText"/>
    <w:rsid w:val="00383B36"/>
    <w:rPr>
      <w:rFonts w:ascii="Arial" w:eastAsia="Calibri" w:hAnsi="Arial" w:cs="Arial"/>
      <w:sz w:val="23"/>
      <w:szCs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FA09EC"/>
    <w:rPr>
      <w:rFonts w:ascii="Arial Bold" w:hAnsi="Arial Bold"/>
      <w:b/>
      <w:color w:val="00ABE6"/>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CF2E1C"/>
    <w:pPr>
      <w:numPr>
        <w:numId w:val="52"/>
      </w:numPr>
      <w:spacing w:before="120" w:after="80"/>
    </w:pPr>
    <w:rPr>
      <w:rFonts w:eastAsia="Times New Roman"/>
    </w:rPr>
  </w:style>
  <w:style w:type="character" w:customStyle="1" w:styleId="Bullet1Char">
    <w:name w:val="Bullet 1 Char"/>
    <w:link w:val="Bullet1"/>
    <w:rsid w:val="00CF2E1C"/>
    <w:rPr>
      <w:rFonts w:ascii="Arial" w:hAnsi="Arial" w:cs="Arial"/>
      <w:sz w:val="23"/>
      <w:szCs w:val="23"/>
      <w:lang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rPr>
  </w:style>
  <w:style w:type="paragraph" w:customStyle="1" w:styleId="Bullet1Paragraph">
    <w:name w:val="Bullet 1 Paragraph"/>
    <w:basedOn w:val="Normal"/>
    <w:rsid w:val="00FA09EC"/>
    <w:pPr>
      <w:ind w:left="425"/>
    </w:pPr>
  </w:style>
  <w:style w:type="paragraph" w:customStyle="1" w:styleId="Bullet2">
    <w:name w:val="Bullet 2"/>
    <w:basedOn w:val="Bullet1"/>
    <w:rsid w:val="00383B36"/>
    <w:pPr>
      <w:numPr>
        <w:numId w:val="53"/>
      </w:numPr>
      <w:tabs>
        <w:tab w:val="left" w:pos="851"/>
      </w:tabs>
      <w:spacing w:before="80"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4"/>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5"/>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6"/>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7"/>
      </w:numPr>
      <w:spacing w:line="360" w:lineRule="auto"/>
    </w:pPr>
    <w:rPr>
      <w:rFonts w:ascii="Arial" w:hAnsi="Arial"/>
      <w:sz w:val="28"/>
    </w:rPr>
  </w:style>
  <w:style w:type="paragraph" w:styleId="ListParagraph">
    <w:name w:val="List Paragraph"/>
    <w:basedOn w:val="Normal"/>
    <w:uiPriority w:val="1"/>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8"/>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9"/>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51"/>
      </w:numPr>
      <w:pBdr>
        <w:bottom w:val="single" w:sz="4" w:space="4" w:color="00ABE6"/>
      </w:pBdr>
      <w:spacing w:before="240" w:after="100"/>
    </w:pPr>
    <w:rPr>
      <w:rFonts w:ascii="Arial" w:hAnsi="Arial"/>
      <w:b/>
      <w:color w:val="00ABE6"/>
      <w:sz w:val="28"/>
    </w:rPr>
  </w:style>
  <w:style w:type="paragraph" w:customStyle="1" w:styleId="Chart21">
    <w:name w:val="Chart 2.1"/>
    <w:basedOn w:val="Normal"/>
    <w:qFormat/>
    <w:rsid w:val="00383B36"/>
    <w:pPr>
      <w:numPr>
        <w:numId w:val="54"/>
      </w:numPr>
      <w:spacing w:before="240" w:after="120"/>
    </w:pPr>
    <w:rPr>
      <w:rFonts w:ascii="Arial" w:hAnsi="Arial"/>
      <w:i/>
      <w:color w:val="4F4F4F"/>
      <w:sz w:val="22"/>
    </w:rPr>
  </w:style>
  <w:style w:type="paragraph" w:customStyle="1" w:styleId="Table21">
    <w:name w:val="Table 2.1"/>
    <w:basedOn w:val="Normal"/>
    <w:qFormat/>
    <w:rsid w:val="00383B36"/>
    <w:pPr>
      <w:numPr>
        <w:numId w:val="55"/>
      </w:numPr>
      <w:spacing w:before="240" w:after="120"/>
    </w:pPr>
    <w:rPr>
      <w:rFonts w:ascii="Arial" w:hAnsi="Arial"/>
      <w:i/>
      <w:color w:val="4F4F4F"/>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LEYARN\ObjectiveHome\TALEYARN-sfobjprod.govnet.nsw.gov.au-8008\Objects\2019-20BP3ClusterOutcomeDonut~20190606Vx.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LEYARN\ObjectiveHome\TALEYARN-sfobjprod.govnet.nsw.gov.au-8008\Objects\2019-20BP3ClusterOutcomeDonut~20190606Vx.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60317460317469E-2"/>
          <c:y val="8.5178571428571437E-2"/>
          <c:w val="0.81956349206349211"/>
          <c:h val="0.81956349206349211"/>
        </c:manualLayout>
      </c:layout>
      <c:doughnutChart>
        <c:varyColors val="1"/>
        <c:ser>
          <c:idx val="0"/>
          <c:order val="0"/>
          <c:dPt>
            <c:idx val="0"/>
            <c:bubble3D val="0"/>
            <c:spPr>
              <a:solidFill>
                <a:srgbClr val="002664"/>
              </a:solidFill>
            </c:spPr>
            <c:extLst>
              <c:ext xmlns:c16="http://schemas.microsoft.com/office/drawing/2014/chart" uri="{C3380CC4-5D6E-409C-BE32-E72D297353CC}">
                <c16:uniqueId val="{00000001-44FD-4147-82EE-661708543CA9}"/>
              </c:ext>
            </c:extLst>
          </c:dPt>
          <c:dPt>
            <c:idx val="1"/>
            <c:bubble3D val="0"/>
            <c:spPr>
              <a:solidFill>
                <a:srgbClr val="00ABE6"/>
              </a:solidFill>
            </c:spPr>
            <c:extLst>
              <c:ext xmlns:c16="http://schemas.microsoft.com/office/drawing/2014/chart" uri="{C3380CC4-5D6E-409C-BE32-E72D297353CC}">
                <c16:uniqueId val="{00000003-44FD-4147-82EE-661708543CA9}"/>
              </c:ext>
            </c:extLst>
          </c:dPt>
          <c:dPt>
            <c:idx val="2"/>
            <c:bubble3D val="0"/>
            <c:spPr>
              <a:solidFill>
                <a:srgbClr val="78B143"/>
              </a:solidFill>
            </c:spPr>
            <c:extLst>
              <c:ext xmlns:c16="http://schemas.microsoft.com/office/drawing/2014/chart" uri="{C3380CC4-5D6E-409C-BE32-E72D297353CC}">
                <c16:uniqueId val="{00000005-44FD-4147-82EE-661708543CA9}"/>
              </c:ext>
            </c:extLst>
          </c:dPt>
          <c:dLbls>
            <c:dLbl>
              <c:idx val="0"/>
              <c:layout>
                <c:manualLayout>
                  <c:x val="-0.15400246790557601"/>
                  <c:y val="-0.41811518383909319"/>
                </c:manualLayout>
              </c:layout>
              <c:tx>
                <c:rich>
                  <a:bodyPr/>
                  <a:lstStyle/>
                  <a:p>
                    <a:fld id="{0F71E3CF-50C3-40E0-ADD5-C3325CA11558}" type="CATEGORYNAME">
                      <a:rPr lang="en-US"/>
                      <a:pPr/>
                      <a:t>[CATEGORY NAME]</a:t>
                    </a:fld>
                    <a:endParaRPr lang="en-AU"/>
                  </a:p>
                </c:rich>
              </c:tx>
              <c:showLegendKey val="0"/>
              <c:showVal val="0"/>
              <c:showCatName val="1"/>
              <c:showSerName val="0"/>
              <c:showPercent val="0"/>
              <c:showBubbleSize val="0"/>
              <c:extLst>
                <c:ext xmlns:c15="http://schemas.microsoft.com/office/drawing/2012/chart" uri="{CE6537A1-D6FC-4f65-9D91-7224C49458BB}">
                  <c15:layout>
                    <c:manualLayout>
                      <c:w val="0.29299619642160762"/>
                      <c:h val="0.12178390983287991"/>
                    </c:manualLayout>
                  </c15:layout>
                  <c15:dlblFieldTable/>
                  <c15:showDataLabelsRange val="0"/>
                </c:ext>
                <c:ext xmlns:c16="http://schemas.microsoft.com/office/drawing/2014/chart" uri="{C3380CC4-5D6E-409C-BE32-E72D297353CC}">
                  <c16:uniqueId val="{00000001-44FD-4147-82EE-661708543CA9}"/>
                </c:ext>
              </c:extLst>
            </c:dLbl>
            <c:dLbl>
              <c:idx val="1"/>
              <c:layout>
                <c:manualLayout>
                  <c:x val="0.2047892792583855"/>
                  <c:y val="-3.8084545170091334E-2"/>
                </c:manualLayout>
              </c:layout>
              <c:showLegendKey val="0"/>
              <c:showVal val="0"/>
              <c:showCatName val="1"/>
              <c:showSerName val="0"/>
              <c:showPercent val="0"/>
              <c:showBubbleSize val="0"/>
              <c:extLst>
                <c:ext xmlns:c15="http://schemas.microsoft.com/office/drawing/2012/chart" uri="{CE6537A1-D6FC-4f65-9D91-7224C49458BB}">
                  <c15:layout>
                    <c:manualLayout>
                      <c:w val="0.24851184036142679"/>
                      <c:h val="0.14444454669919313"/>
                    </c:manualLayout>
                  </c15:layout>
                </c:ext>
                <c:ext xmlns:c16="http://schemas.microsoft.com/office/drawing/2014/chart" uri="{C3380CC4-5D6E-409C-BE32-E72D297353CC}">
                  <c16:uniqueId val="{00000003-44FD-4147-82EE-661708543CA9}"/>
                </c:ext>
              </c:extLst>
            </c:dLbl>
            <c:dLbl>
              <c:idx val="2"/>
              <c:layout>
                <c:manualLayout>
                  <c:x val="0.2003021075399273"/>
                  <c:y val="3.1392778108925851E-2"/>
                </c:manualLayout>
              </c:layout>
              <c:tx>
                <c:rich>
                  <a:bodyPr/>
                  <a:lstStyle/>
                  <a:p>
                    <a:r>
                      <a:rPr lang="en-US"/>
                      <a:t>Other State Outcomes</a:t>
                    </a:r>
                    <a:r>
                      <a:rPr lang="en-US" baseline="30000"/>
                      <a:t>(b) </a:t>
                    </a:r>
                    <a:r>
                      <a:rPr lang="en-US" baseline="0"/>
                      <a:t>$673m (4%)</a:t>
                    </a:r>
                    <a:endParaRPr lang="en-US" baseline="30000"/>
                  </a:p>
                </c:rich>
              </c:tx>
              <c:showLegendKey val="0"/>
              <c:showVal val="0"/>
              <c:showCatName val="1"/>
              <c:showSerName val="0"/>
              <c:showPercent val="0"/>
              <c:showBubbleSize val="0"/>
              <c:extLst>
                <c:ext xmlns:c15="http://schemas.microsoft.com/office/drawing/2012/chart" uri="{CE6537A1-D6FC-4f65-9D91-7224C49458BB}">
                  <c15:layout>
                    <c:manualLayout>
                      <c:w val="0.22427864542635811"/>
                      <c:h val="0.13833167916612982"/>
                    </c:manualLayout>
                  </c15:layout>
                </c:ext>
                <c:ext xmlns:c16="http://schemas.microsoft.com/office/drawing/2014/chart" uri="{C3380CC4-5D6E-409C-BE32-E72D297353CC}">
                  <c16:uniqueId val="{00000005-44FD-4147-82EE-661708543CA9}"/>
                </c:ext>
              </c:extLst>
            </c:dLbl>
            <c:spPr>
              <a:noFill/>
              <a:ln>
                <a:noFill/>
              </a:ln>
            </c:spPr>
            <c:txPr>
              <a:bodyPr rot="0"/>
              <a:lstStyle/>
              <a:p>
                <a:pPr>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 Edu'!$D$34:$D$46</c:f>
              <c:strCache>
                <c:ptCount val="3"/>
                <c:pt idx="0">
                  <c:v>Educational foundations for success $15.7b (84%)</c:v>
                </c:pt>
                <c:pt idx="1">
                  <c:v>Skilled and employable workforce $2.3b (12%)</c:v>
                </c:pt>
                <c:pt idx="2">
                  <c:v>Other State Outcomes $673m (4%)</c:v>
                </c:pt>
              </c:strCache>
            </c:strRef>
          </c:cat>
          <c:val>
            <c:numRef>
              <c:f>'Donut Edu'!$E$34:$E$46</c:f>
              <c:numCache>
                <c:formatCode>_-* #,##0.0_-;\-* #,##0.0_-;_-* "-"??_-;_-@_-</c:formatCode>
                <c:ptCount val="3"/>
                <c:pt idx="0">
                  <c:v>15700.349986280009</c:v>
                </c:pt>
                <c:pt idx="1">
                  <c:v>2260.1381622399977</c:v>
                </c:pt>
                <c:pt idx="2">
                  <c:v>672.96158049000007</c:v>
                </c:pt>
              </c:numCache>
            </c:numRef>
          </c:val>
          <c:extLst>
            <c:ext xmlns:c16="http://schemas.microsoft.com/office/drawing/2014/chart" uri="{C3380CC4-5D6E-409C-BE32-E72D297353CC}">
              <c16:uniqueId val="{00000006-44FD-4147-82EE-661708543CA9}"/>
            </c:ext>
          </c:extLst>
        </c:ser>
        <c:dLbls>
          <c:showLegendKey val="0"/>
          <c:showVal val="0"/>
          <c:showCatName val="0"/>
          <c:showSerName val="0"/>
          <c:showPercent val="1"/>
          <c:showBubbleSize val="0"/>
          <c:showLeaderLines val="0"/>
        </c:dLbls>
        <c:firstSliceAng val="100"/>
        <c:holeSize val="60"/>
      </c:doughnutChart>
    </c:plotArea>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60317460317469E-2"/>
          <c:y val="8.5178571428571437E-2"/>
          <c:w val="0.81956349206349211"/>
          <c:h val="0.81956349206349211"/>
        </c:manualLayout>
      </c:layout>
      <c:doughnutChart>
        <c:varyColors val="1"/>
        <c:ser>
          <c:idx val="0"/>
          <c:order val="0"/>
          <c:dPt>
            <c:idx val="0"/>
            <c:bubble3D val="0"/>
            <c:spPr>
              <a:solidFill>
                <a:srgbClr val="002664"/>
              </a:solidFill>
            </c:spPr>
            <c:extLst>
              <c:ext xmlns:c16="http://schemas.microsoft.com/office/drawing/2014/chart" uri="{C3380CC4-5D6E-409C-BE32-E72D297353CC}">
                <c16:uniqueId val="{00000001-BDB2-4DF2-BCF7-C82C86769DA4}"/>
              </c:ext>
            </c:extLst>
          </c:dPt>
          <c:dPt>
            <c:idx val="1"/>
            <c:bubble3D val="0"/>
            <c:spPr>
              <a:solidFill>
                <a:srgbClr val="78B143"/>
              </a:solidFill>
            </c:spPr>
            <c:extLst>
              <c:ext xmlns:c16="http://schemas.microsoft.com/office/drawing/2014/chart" uri="{C3380CC4-5D6E-409C-BE32-E72D297353CC}">
                <c16:uniqueId val="{00000003-BDB2-4DF2-BCF7-C82C86769DA4}"/>
              </c:ext>
            </c:extLst>
          </c:dPt>
          <c:dLbls>
            <c:dLbl>
              <c:idx val="0"/>
              <c:layout>
                <c:manualLayout>
                  <c:x val="-0.15740495119873055"/>
                  <c:y val="-0.27808208825027247"/>
                </c:manualLayout>
              </c:layout>
              <c:showLegendKey val="0"/>
              <c:showVal val="0"/>
              <c:showCatName val="1"/>
              <c:showSerName val="0"/>
              <c:showPercent val="0"/>
              <c:showBubbleSize val="0"/>
              <c:extLst>
                <c:ext xmlns:c15="http://schemas.microsoft.com/office/drawing/2012/chart" uri="{CE6537A1-D6FC-4f65-9D91-7224C49458BB}">
                  <c15:layout>
                    <c:manualLayout>
                      <c:w val="0.24653844147454901"/>
                      <c:h val="0.17842105597735225"/>
                    </c:manualLayout>
                  </c15:layout>
                </c:ext>
                <c:ext xmlns:c16="http://schemas.microsoft.com/office/drawing/2014/chart" uri="{C3380CC4-5D6E-409C-BE32-E72D297353CC}">
                  <c16:uniqueId val="{00000001-BDB2-4DF2-BCF7-C82C86769DA4}"/>
                </c:ext>
              </c:extLst>
            </c:dLbl>
            <c:dLbl>
              <c:idx val="1"/>
              <c:layout>
                <c:manualLayout>
                  <c:x val="0.18590004112247524"/>
                  <c:y val="1.4731040162625319E-2"/>
                </c:manualLayout>
              </c:layout>
              <c:tx>
                <c:rich>
                  <a:bodyPr/>
                  <a:lstStyle/>
                  <a:p>
                    <a:r>
                      <a:rPr lang="en-US"/>
                      <a:t>Other State</a:t>
                    </a:r>
                    <a:r>
                      <a:rPr lang="en-US" baseline="0"/>
                      <a:t> Outcomes</a:t>
                    </a:r>
                    <a:r>
                      <a:rPr lang="en-US" baseline="30000"/>
                      <a:t>(d)</a:t>
                    </a:r>
                    <a:r>
                      <a:rPr lang="en-US" baseline="0"/>
                      <a:t> $139.7m (6%)</a:t>
                    </a:r>
                    <a:endParaRPr lang="en-US" baseline="30000"/>
                  </a:p>
                </c:rich>
              </c:tx>
              <c:showLegendKey val="0"/>
              <c:showVal val="0"/>
              <c:showCatName val="1"/>
              <c:showSerName val="0"/>
              <c:showPercent val="0"/>
              <c:showBubbleSize val="0"/>
              <c:extLst>
                <c:ext xmlns:c15="http://schemas.microsoft.com/office/drawing/2012/chart" uri="{CE6537A1-D6FC-4f65-9D91-7224C49458BB}">
                  <c15:layout>
                    <c:manualLayout>
                      <c:w val="0.24941974393073518"/>
                      <c:h val="0.16362415054998378"/>
                    </c:manualLayout>
                  </c15:layout>
                </c:ext>
                <c:ext xmlns:c16="http://schemas.microsoft.com/office/drawing/2014/chart" uri="{C3380CC4-5D6E-409C-BE32-E72D297353CC}">
                  <c16:uniqueId val="{00000003-BDB2-4DF2-BCF7-C82C86769DA4}"/>
                </c:ext>
              </c:extLst>
            </c:dLbl>
            <c:spPr>
              <a:noFill/>
              <a:ln>
                <a:noFill/>
              </a:ln>
            </c:spPr>
            <c:txPr>
              <a:bodyPr rot="0"/>
              <a:lstStyle/>
              <a:p>
                <a:pPr>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 Edu'!$D$50:$D$62</c:f>
              <c:strCache>
                <c:ptCount val="2"/>
                <c:pt idx="0">
                  <c:v>Educational foundations for success $2.2b (94%)</c:v>
                </c:pt>
                <c:pt idx="1">
                  <c:v>Other State Outcomes $139.7m (6%)</c:v>
                </c:pt>
              </c:strCache>
            </c:strRef>
          </c:cat>
          <c:val>
            <c:numRef>
              <c:f>'Donut Edu'!$E$50:$E$62</c:f>
              <c:numCache>
                <c:formatCode>_-* #,##0.0_-;\-* #,##0.0_-;_-* "-"??_-;_-@_-</c:formatCode>
                <c:ptCount val="2"/>
                <c:pt idx="0">
                  <c:v>2242.319</c:v>
                </c:pt>
                <c:pt idx="1">
                  <c:v>139.667</c:v>
                </c:pt>
              </c:numCache>
            </c:numRef>
          </c:val>
          <c:extLst>
            <c:ext xmlns:c16="http://schemas.microsoft.com/office/drawing/2014/chart" uri="{C3380CC4-5D6E-409C-BE32-E72D297353CC}">
              <c16:uniqueId val="{00000004-BDB2-4DF2-BCF7-C82C86769DA4}"/>
            </c:ext>
          </c:extLst>
        </c:ser>
        <c:dLbls>
          <c:showLegendKey val="0"/>
          <c:showVal val="0"/>
          <c:showCatName val="0"/>
          <c:showSerName val="0"/>
          <c:showPercent val="1"/>
          <c:showBubbleSize val="0"/>
          <c:showLeaderLines val="0"/>
        </c:dLbls>
        <c:firstSliceAng val="100"/>
        <c:holeSize val="60"/>
      </c:doughnutChart>
    </c:plotArea>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8" ma:contentTypeDescription="Create a new document." ma:contentTypeScope="" ma:versionID="a5d11006e2a672b08a8da4623d82d3fa">
  <xsd:schema xmlns:xsd="http://www.w3.org/2001/XMLSchema" xmlns:xs="http://www.w3.org/2001/XMLSchema" xmlns:p="http://schemas.microsoft.com/office/2006/metadata/properties" xmlns:ns2="801a5968-9419-4033-b9de-7ffe8168468e" xmlns:ns3="1c478e85-8130-4c67-8ee4-8bdf1c0e6049" targetNamespace="http://schemas.microsoft.com/office/2006/metadata/properties" ma:root="true" ma:fieldsID="008245df968ee954d6fc212165d884b7" ns2:_="" ns3:_="">
    <xsd:import namespace="801a5968-9419-4033-b9de-7ffe8168468e"/>
    <xsd:import namespace="1c478e85-8130-4c67-8ee4-8bdf1c0e60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7C9E-3449-40EC-8A53-4C9B982CD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74F71-7CEA-440A-95E8-8F76EA5440C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c478e85-8130-4c67-8ee4-8bdf1c0e6049"/>
    <ds:schemaRef ds:uri="801a5968-9419-4033-b9de-7ffe8168468e"/>
    <ds:schemaRef ds:uri="http://www.w3.org/XML/1998/namespace"/>
    <ds:schemaRef ds:uri="http://purl.org/dc/elements/1.1/"/>
  </ds:schemaRefs>
</ds:datastoreItem>
</file>

<file path=customXml/itemProps3.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BABDAAFC-C238-42E5-B899-ED90B8A1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3671</Words>
  <Characters>21878</Characters>
  <Application>Microsoft Office Word</Application>
  <DocSecurity>4</DocSecurity>
  <Lines>182</Lines>
  <Paragraphs>50</Paragraphs>
  <ScaleCrop>false</ScaleCrop>
  <HeadingPairs>
    <vt:vector size="2" baseType="variant">
      <vt:variant>
        <vt:lpstr>Title</vt:lpstr>
      </vt:variant>
      <vt:variant>
        <vt:i4>1</vt:i4>
      </vt:variant>
    </vt:vector>
  </HeadingPairs>
  <TitlesOfParts>
    <vt:vector size="1" baseType="lpstr">
      <vt:lpstr>2019-20 Budget Paper No. 3 - Budget Estimates - 02 Education Cluster</vt:lpstr>
    </vt:vector>
  </TitlesOfParts>
  <Company>NSW Treasury</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Budget Paper No. 3 - Budget Estimates - 02 Education Cluster</dc:title>
  <dc:creator>The Treasury</dc:creator>
  <cp:lastModifiedBy>Eva Keen</cp:lastModifiedBy>
  <cp:revision>2</cp:revision>
  <cp:lastPrinted>2019-06-11T00:42:00Z</cp:lastPrinted>
  <dcterms:created xsi:type="dcterms:W3CDTF">2019-06-18T01:34:00Z</dcterms:created>
  <dcterms:modified xsi:type="dcterms:W3CDTF">2019-06-18T01:34:00Z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ies>
</file>