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3.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18" Type="http://schemas.microsoft.com/office/2020/02/relationships/classificationlabels" Target="docMetadata/LabelInfo3.xml"/><Relationship Id="rId3" Type="http://schemas.openxmlformats.org/package/2006/relationships/metadata/core-properties" Target="docProps/core.xml"/><Relationship Id="rId7" Type="http://schemas.microsoft.com/office/2020/02/relationships/classificationlabels" Target="docMetadata/LabelInfo1.xml"/><Relationship Id="rId12" Type="http://schemas.microsoft.com/office/2020/02/relationships/classificationlabels" Target="docMetadata/LabelInfo6.xml"/><Relationship Id="rId17" Type="http://schemas.microsoft.com/office/2020/02/relationships/classificationlabels" Target="docMetadata/LabelInfo11.xml"/><Relationship Id="rId2" Type="http://schemas.openxmlformats.org/package/2006/relationships/metadata/thumbnail" Target="docProps/thumbnail.emf"/><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openxmlformats.org/officeDocument/2006/relationships/custom-properties" Target="docProps/custom.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extended-properties" Target="docProps/app.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DA84" w14:textId="02F481D9" w:rsidR="00BC5471" w:rsidRPr="004632E3" w:rsidRDefault="001E659E" w:rsidP="00316999">
      <w:pPr>
        <w:pStyle w:val="Heading1"/>
        <w:spacing w:before="600" w:after="360"/>
        <w:ind w:left="567" w:hanging="567"/>
      </w:pPr>
      <w:r>
        <w:t>E</w:t>
      </w:r>
      <w:r w:rsidR="00DD408A">
        <w:t>.</w:t>
      </w:r>
      <w:r w:rsidR="0053757D" w:rsidRPr="00C04562">
        <w:tab/>
      </w:r>
      <w:r w:rsidR="00BC5471" w:rsidRPr="00C34942">
        <w:t>Performance</w:t>
      </w:r>
      <w:r w:rsidR="00BC5471" w:rsidRPr="00C04562">
        <w:t xml:space="preserve"> and Reporting Under </w:t>
      </w:r>
      <w:r w:rsidR="00A54BF0" w:rsidRPr="00C04562">
        <w:t xml:space="preserve">the </w:t>
      </w:r>
      <w:r w:rsidR="00BC5471" w:rsidRPr="00C04562">
        <w:t xml:space="preserve">Fiscal </w:t>
      </w:r>
      <w:r w:rsidR="00BC5471" w:rsidRPr="001626ED">
        <w:rPr>
          <w:color w:val="00426F"/>
        </w:rPr>
        <w:t>Responsibility</w:t>
      </w:r>
      <w:r w:rsidR="00BC5471" w:rsidRPr="00C04562">
        <w:t xml:space="preserve"> Act</w:t>
      </w:r>
      <w:r w:rsidR="007A5925">
        <w:t xml:space="preserve"> 2012</w:t>
      </w:r>
      <w:r w:rsidR="00BC5471" w:rsidRPr="00C04562">
        <w:t xml:space="preserve"> </w:t>
      </w:r>
    </w:p>
    <w:p w14:paraId="6C19E93A" w14:textId="49C0F866" w:rsidR="00797F95" w:rsidRDefault="00784734" w:rsidP="002C7D0C">
      <w:pPr>
        <w:pStyle w:val="BodyText"/>
        <w:rPr>
          <w:rFonts w:cs="Arial"/>
          <w:szCs w:val="23"/>
        </w:rPr>
      </w:pPr>
      <w:r>
        <w:rPr>
          <w:rFonts w:cs="Arial"/>
          <w:szCs w:val="23"/>
        </w:rPr>
        <w:t xml:space="preserve">The </w:t>
      </w:r>
      <w:r w:rsidRPr="003321D8">
        <w:rPr>
          <w:rFonts w:cs="Arial"/>
          <w:i/>
          <w:szCs w:val="23"/>
        </w:rPr>
        <w:t>Fiscal Responsibility Act 2012</w:t>
      </w:r>
      <w:r>
        <w:rPr>
          <w:rFonts w:cs="Arial"/>
          <w:szCs w:val="23"/>
        </w:rPr>
        <w:t xml:space="preserve"> (FRA) requires the Government to report on performance against the </w:t>
      </w:r>
      <w:r w:rsidR="00523512">
        <w:rPr>
          <w:rFonts w:cs="Arial"/>
          <w:szCs w:val="23"/>
        </w:rPr>
        <w:t xml:space="preserve">Act’s </w:t>
      </w:r>
      <w:r w:rsidR="006C5164">
        <w:rPr>
          <w:rFonts w:cs="Arial"/>
          <w:szCs w:val="23"/>
        </w:rPr>
        <w:t>objective</w:t>
      </w:r>
      <w:r w:rsidR="00797F95">
        <w:rPr>
          <w:rFonts w:cs="Arial"/>
          <w:szCs w:val="23"/>
        </w:rPr>
        <w:t xml:space="preserve">, targets and principles as part of the </w:t>
      </w:r>
      <w:r w:rsidR="006C5164">
        <w:rPr>
          <w:rFonts w:cs="Arial"/>
          <w:szCs w:val="23"/>
        </w:rPr>
        <w:t>b</w:t>
      </w:r>
      <w:r w:rsidR="00797F95">
        <w:rPr>
          <w:rFonts w:cs="Arial"/>
          <w:szCs w:val="23"/>
        </w:rPr>
        <w:t>udget</w:t>
      </w:r>
      <w:r w:rsidR="006C5164">
        <w:rPr>
          <w:rFonts w:cs="Arial"/>
          <w:szCs w:val="23"/>
        </w:rPr>
        <w:t xml:space="preserve"> papers</w:t>
      </w:r>
      <w:r w:rsidR="00797F95">
        <w:rPr>
          <w:rFonts w:cs="Arial"/>
          <w:szCs w:val="23"/>
        </w:rPr>
        <w:t>.</w:t>
      </w:r>
    </w:p>
    <w:p w14:paraId="1AF597E3" w14:textId="7F10C639" w:rsidR="002C7D0C" w:rsidRPr="00784734" w:rsidRDefault="005F105A" w:rsidP="002C7D0C">
      <w:pPr>
        <w:pStyle w:val="BodyText"/>
        <w:rPr>
          <w:rFonts w:cs="Arial"/>
          <w:szCs w:val="23"/>
        </w:rPr>
      </w:pPr>
      <w:r w:rsidRPr="006021EA">
        <w:rPr>
          <w:rFonts w:cs="Arial"/>
          <w:szCs w:val="23"/>
        </w:rPr>
        <w:t xml:space="preserve">The </w:t>
      </w:r>
      <w:r>
        <w:rPr>
          <w:rFonts w:cs="Arial"/>
          <w:szCs w:val="23"/>
        </w:rPr>
        <w:t>FRA</w:t>
      </w:r>
      <w:r w:rsidRPr="006021EA">
        <w:rPr>
          <w:rFonts w:cs="Arial"/>
          <w:szCs w:val="23"/>
        </w:rPr>
        <w:t xml:space="preserve"> sets the policy object</w:t>
      </w:r>
      <w:r w:rsidR="00EF0CF2">
        <w:rPr>
          <w:rFonts w:cs="Arial"/>
          <w:szCs w:val="23"/>
        </w:rPr>
        <w:t>ive</w:t>
      </w:r>
      <w:r w:rsidRPr="006021EA">
        <w:rPr>
          <w:rFonts w:cs="Arial"/>
          <w:szCs w:val="23"/>
        </w:rPr>
        <w:t xml:space="preserve"> of maintaining the State’s triple-A credit</w:t>
      </w:r>
      <w:r w:rsidR="00664CF4">
        <w:rPr>
          <w:rFonts w:cs="Arial"/>
          <w:szCs w:val="23"/>
        </w:rPr>
        <w:t xml:space="preserve"> rating</w:t>
      </w:r>
      <w:r w:rsidR="003809B9">
        <w:rPr>
          <w:rFonts w:cs="Arial"/>
          <w:szCs w:val="23"/>
        </w:rPr>
        <w:t>, supported by</w:t>
      </w:r>
      <w:r w:rsidR="00FE0702">
        <w:rPr>
          <w:rFonts w:cs="Arial"/>
          <w:szCs w:val="23"/>
        </w:rPr>
        <w:t xml:space="preserve"> </w:t>
      </w:r>
      <w:r w:rsidR="00967B14" w:rsidRPr="009221A8">
        <w:rPr>
          <w:rFonts w:cs="Arial"/>
          <w:szCs w:val="23"/>
        </w:rPr>
        <w:t>t</w:t>
      </w:r>
      <w:r w:rsidR="00A04F33" w:rsidRPr="009221A8">
        <w:rPr>
          <w:rFonts w:cs="Arial"/>
          <w:szCs w:val="23"/>
        </w:rPr>
        <w:t>wo</w:t>
      </w:r>
      <w:r w:rsidR="00967B14" w:rsidRPr="009221A8">
        <w:rPr>
          <w:rFonts w:cs="Arial"/>
          <w:szCs w:val="23"/>
        </w:rPr>
        <w:t xml:space="preserve"> </w:t>
      </w:r>
      <w:r w:rsidR="00FE0702" w:rsidRPr="009221A8">
        <w:rPr>
          <w:rFonts w:cs="Arial"/>
          <w:szCs w:val="23"/>
        </w:rPr>
        <w:t>fiscal</w:t>
      </w:r>
      <w:r w:rsidR="00FE0702">
        <w:rPr>
          <w:rFonts w:cs="Arial"/>
          <w:szCs w:val="23"/>
        </w:rPr>
        <w:t xml:space="preserve"> targets and </w:t>
      </w:r>
      <w:r w:rsidRPr="00891B63">
        <w:rPr>
          <w:rFonts w:cs="Arial"/>
          <w:szCs w:val="23"/>
        </w:rPr>
        <w:t>three</w:t>
      </w:r>
      <w:r w:rsidRPr="006021EA">
        <w:rPr>
          <w:rFonts w:cs="Arial"/>
          <w:szCs w:val="23"/>
        </w:rPr>
        <w:t xml:space="preserve"> principles of sound financial management</w:t>
      </w:r>
      <w:r w:rsidR="00FE0702">
        <w:rPr>
          <w:rFonts w:cs="Arial"/>
          <w:szCs w:val="23"/>
        </w:rPr>
        <w:t xml:space="preserve"> (see Table </w:t>
      </w:r>
      <w:r w:rsidR="00A2769D">
        <w:rPr>
          <w:rFonts w:cs="Arial"/>
          <w:szCs w:val="23"/>
        </w:rPr>
        <w:t>E</w:t>
      </w:r>
      <w:r w:rsidR="00FE0702">
        <w:rPr>
          <w:rFonts w:cs="Arial"/>
          <w:szCs w:val="23"/>
        </w:rPr>
        <w:t xml:space="preserve">.1). </w:t>
      </w:r>
    </w:p>
    <w:p w14:paraId="0EE2E90D" w14:textId="41917E9B" w:rsidR="007C2C53" w:rsidRPr="00FE0702" w:rsidRDefault="005F105A" w:rsidP="00FF6386">
      <w:pPr>
        <w:pStyle w:val="TableEX"/>
        <w:ind w:left="1276" w:hanging="1276"/>
      </w:pPr>
      <w:r w:rsidRPr="00FE0702">
        <w:t>Fiscal Responsibility Act</w:t>
      </w:r>
      <w:r w:rsidR="00B72B78">
        <w:t xml:space="preserve"> 2012</w:t>
      </w:r>
      <w:r w:rsidRPr="00FE0702">
        <w:t xml:space="preserve"> – object, targets and principles</w:t>
      </w:r>
      <w:r w:rsidR="009A279F">
        <w:t xml:space="preserve"> </w:t>
      </w:r>
    </w:p>
    <w:tbl>
      <w:tblPr>
        <w:tblStyle w:val="TableGrid"/>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6" w:space="0" w:color="BFBFBF" w:themeColor="background1" w:themeShade="BF"/>
          <w:insideV w:val="none" w:sz="0" w:space="0" w:color="auto"/>
        </w:tblBorders>
        <w:tblLayout w:type="fixed"/>
        <w:tblLook w:val="04A0" w:firstRow="1" w:lastRow="0" w:firstColumn="1" w:lastColumn="0" w:noHBand="0" w:noVBand="1"/>
        <w:tblCaption w:val="Table E.1: Fiscal Responsibility Act 2012 – object, targets and principles "/>
        <w:tblDescription w:val="Table E.1: Fiscal Responsibility Act 2012 – object, targets and principles "/>
      </w:tblPr>
      <w:tblGrid>
        <w:gridCol w:w="1560"/>
        <w:gridCol w:w="3402"/>
        <w:gridCol w:w="4677"/>
      </w:tblGrid>
      <w:tr w:rsidR="00153951" w:rsidRPr="006021EA" w14:paraId="164D3C49" w14:textId="77777777" w:rsidTr="00857FDD">
        <w:trPr>
          <w:trHeight w:val="340"/>
        </w:trPr>
        <w:tc>
          <w:tcPr>
            <w:tcW w:w="1560" w:type="dxa"/>
            <w:tcBorders>
              <w:bottom w:val="nil"/>
            </w:tcBorders>
            <w:shd w:val="clear" w:color="auto" w:fill="00426F"/>
            <w:vAlign w:val="center"/>
          </w:tcPr>
          <w:p w14:paraId="57F4B018" w14:textId="05B2CA91" w:rsidR="00153951" w:rsidRPr="00015167" w:rsidRDefault="00153951" w:rsidP="001626ED">
            <w:pPr>
              <w:spacing w:before="100" w:after="100"/>
              <w:rPr>
                <w:rFonts w:ascii="Arial" w:hAnsi="Arial" w:cs="Arial"/>
                <w:b/>
                <w:color w:val="FFFFFF" w:themeColor="background1"/>
                <w:sz w:val="18"/>
                <w:szCs w:val="18"/>
              </w:rPr>
            </w:pPr>
            <w:r w:rsidRPr="006021EA">
              <w:rPr>
                <w:rFonts w:ascii="Arial" w:hAnsi="Arial" w:cs="Arial"/>
                <w:b/>
                <w:color w:val="FFFFFF" w:themeColor="background1"/>
                <w:sz w:val="18"/>
                <w:szCs w:val="18"/>
              </w:rPr>
              <w:t>Object</w:t>
            </w:r>
          </w:p>
        </w:tc>
        <w:tc>
          <w:tcPr>
            <w:tcW w:w="3402" w:type="dxa"/>
            <w:tcBorders>
              <w:bottom w:val="nil"/>
            </w:tcBorders>
            <w:shd w:val="clear" w:color="auto" w:fill="00426F"/>
            <w:vAlign w:val="center"/>
          </w:tcPr>
          <w:p w14:paraId="6114718B" w14:textId="77777777" w:rsidR="00153951" w:rsidRPr="006021EA" w:rsidRDefault="00153951" w:rsidP="001626ED">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Fiscal t</w:t>
            </w:r>
            <w:r w:rsidRPr="006021EA">
              <w:rPr>
                <w:rFonts w:ascii="Arial" w:hAnsi="Arial" w:cs="Arial"/>
                <w:b/>
                <w:color w:val="FFFFFF" w:themeColor="background1"/>
                <w:sz w:val="18"/>
                <w:szCs w:val="18"/>
              </w:rPr>
              <w:t>argets</w:t>
            </w:r>
          </w:p>
        </w:tc>
        <w:tc>
          <w:tcPr>
            <w:tcW w:w="4677" w:type="dxa"/>
            <w:tcBorders>
              <w:bottom w:val="nil"/>
            </w:tcBorders>
            <w:shd w:val="clear" w:color="auto" w:fill="00426F"/>
            <w:vAlign w:val="center"/>
          </w:tcPr>
          <w:p w14:paraId="6854BFC1" w14:textId="77777777" w:rsidR="00153951" w:rsidRPr="00015167" w:rsidRDefault="00153951" w:rsidP="001626ED">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Fiscal p</w:t>
            </w:r>
            <w:r w:rsidRPr="006021EA">
              <w:rPr>
                <w:rFonts w:ascii="Arial" w:hAnsi="Arial" w:cs="Arial"/>
                <w:b/>
                <w:color w:val="FFFFFF" w:themeColor="background1"/>
                <w:sz w:val="18"/>
                <w:szCs w:val="18"/>
              </w:rPr>
              <w:t>rinciples</w:t>
            </w:r>
          </w:p>
        </w:tc>
      </w:tr>
      <w:tr w:rsidR="007C58CD" w:rsidRPr="006021EA" w14:paraId="0765F71B" w14:textId="77777777" w:rsidTr="00857FDD">
        <w:trPr>
          <w:trHeight w:val="1661"/>
        </w:trPr>
        <w:tc>
          <w:tcPr>
            <w:tcW w:w="1560" w:type="dxa"/>
            <w:vMerge w:val="restart"/>
            <w:tcBorders>
              <w:top w:val="nil"/>
              <w:bottom w:val="nil"/>
            </w:tcBorders>
            <w:shd w:val="clear" w:color="auto" w:fill="auto"/>
            <w:vAlign w:val="center"/>
          </w:tcPr>
          <w:p w14:paraId="2C0E88F3" w14:textId="77777777" w:rsidR="007C58CD" w:rsidRPr="006021EA" w:rsidRDefault="007C58CD" w:rsidP="007C58CD">
            <w:pPr>
              <w:spacing w:after="480"/>
              <w:rPr>
                <w:rFonts w:ascii="Arial" w:hAnsi="Arial" w:cs="Arial"/>
                <w:sz w:val="18"/>
                <w:szCs w:val="18"/>
              </w:rPr>
            </w:pPr>
            <w:r w:rsidRPr="006021EA">
              <w:rPr>
                <w:rFonts w:ascii="Arial" w:hAnsi="Arial" w:cs="Arial"/>
                <w:sz w:val="18"/>
                <w:szCs w:val="18"/>
              </w:rPr>
              <w:t xml:space="preserve">Maintain </w:t>
            </w:r>
            <w:r>
              <w:rPr>
                <w:rFonts w:ascii="Arial" w:hAnsi="Arial" w:cs="Arial"/>
                <w:sz w:val="18"/>
                <w:szCs w:val="18"/>
              </w:rPr>
              <w:t>the</w:t>
            </w:r>
            <w:r w:rsidRPr="006021EA">
              <w:rPr>
                <w:rFonts w:ascii="Arial" w:hAnsi="Arial" w:cs="Arial"/>
                <w:sz w:val="18"/>
                <w:szCs w:val="18"/>
              </w:rPr>
              <w:t xml:space="preserve"> triple-A credit rating</w:t>
            </w:r>
          </w:p>
        </w:tc>
        <w:tc>
          <w:tcPr>
            <w:tcW w:w="3402" w:type="dxa"/>
            <w:tcBorders>
              <w:top w:val="nil"/>
              <w:bottom w:val="nil"/>
            </w:tcBorders>
            <w:shd w:val="clear" w:color="auto" w:fill="auto"/>
          </w:tcPr>
          <w:p w14:paraId="44A8903E" w14:textId="42284F1B" w:rsidR="007C58CD" w:rsidRPr="006021EA" w:rsidRDefault="009E417B" w:rsidP="0007261F">
            <w:pPr>
              <w:pStyle w:val="ListParagraph"/>
              <w:numPr>
                <w:ilvl w:val="0"/>
                <w:numId w:val="32"/>
              </w:numPr>
              <w:spacing w:before="60"/>
              <w:rPr>
                <w:rFonts w:ascii="Arial" w:hAnsi="Arial" w:cs="Arial"/>
                <w:sz w:val="18"/>
                <w:szCs w:val="18"/>
              </w:rPr>
            </w:pPr>
            <w:r>
              <w:rPr>
                <w:rFonts w:ascii="Arial" w:hAnsi="Arial" w:cs="Arial"/>
                <w:sz w:val="18"/>
                <w:szCs w:val="18"/>
              </w:rPr>
              <w:t>Annual e</w:t>
            </w:r>
            <w:r w:rsidR="007C58CD" w:rsidRPr="006E6BF6">
              <w:rPr>
                <w:rFonts w:ascii="Arial" w:hAnsi="Arial" w:cs="Arial"/>
                <w:sz w:val="18"/>
                <w:szCs w:val="18"/>
              </w:rPr>
              <w:t xml:space="preserve">xpense growth kept below long-term average revenue growth </w:t>
            </w:r>
          </w:p>
        </w:tc>
        <w:tc>
          <w:tcPr>
            <w:tcW w:w="4677" w:type="dxa"/>
            <w:tcBorders>
              <w:top w:val="nil"/>
              <w:bottom w:val="nil"/>
            </w:tcBorders>
            <w:shd w:val="clear" w:color="auto" w:fill="auto"/>
          </w:tcPr>
          <w:p w14:paraId="7FC462DB" w14:textId="54588071" w:rsidR="007C58CD" w:rsidRPr="006E6BF6" w:rsidRDefault="00291B8C" w:rsidP="00862D5F">
            <w:pPr>
              <w:spacing w:before="60"/>
              <w:rPr>
                <w:rFonts w:ascii="Arial" w:hAnsi="Arial" w:cs="Arial"/>
                <w:sz w:val="18"/>
                <w:szCs w:val="18"/>
              </w:rPr>
            </w:pPr>
            <w:r>
              <w:rPr>
                <w:rFonts w:ascii="Arial" w:hAnsi="Arial" w:cs="Arial"/>
                <w:sz w:val="18"/>
                <w:szCs w:val="18"/>
              </w:rPr>
              <w:t>Principle No 1 is r</w:t>
            </w:r>
            <w:r w:rsidR="007C58CD" w:rsidRPr="006E6BF6">
              <w:rPr>
                <w:rFonts w:ascii="Arial" w:hAnsi="Arial" w:cs="Arial"/>
                <w:sz w:val="18"/>
                <w:szCs w:val="18"/>
              </w:rPr>
              <w:t>esponsible and sustainable spending, taxation and infrastructure investment</w:t>
            </w:r>
            <w:r>
              <w:rPr>
                <w:rFonts w:ascii="Arial" w:hAnsi="Arial" w:cs="Arial"/>
                <w:sz w:val="18"/>
                <w:szCs w:val="18"/>
              </w:rPr>
              <w:t>, including</w:t>
            </w:r>
            <w:r w:rsidR="00E17C15">
              <w:rPr>
                <w:rFonts w:ascii="Arial" w:hAnsi="Arial" w:cs="Arial"/>
                <w:sz w:val="18"/>
                <w:szCs w:val="18"/>
              </w:rPr>
              <w:t>:</w:t>
            </w:r>
          </w:p>
          <w:p w14:paraId="297FD9B2" w14:textId="0153C2E1" w:rsidR="0006295C" w:rsidRDefault="007D03C6" w:rsidP="0007261F">
            <w:pPr>
              <w:pStyle w:val="ListParagraph"/>
              <w:numPr>
                <w:ilvl w:val="0"/>
                <w:numId w:val="31"/>
              </w:numPr>
              <w:ind w:left="357" w:hanging="357"/>
              <w:rPr>
                <w:rFonts w:ascii="Arial" w:hAnsi="Arial" w:cs="Arial"/>
                <w:sz w:val="18"/>
                <w:szCs w:val="18"/>
              </w:rPr>
            </w:pPr>
            <w:r>
              <w:rPr>
                <w:rFonts w:ascii="Arial" w:hAnsi="Arial" w:cs="Arial"/>
                <w:sz w:val="18"/>
                <w:szCs w:val="18"/>
              </w:rPr>
              <w:t>a</w:t>
            </w:r>
            <w:r w:rsidR="0006295C">
              <w:rPr>
                <w:rFonts w:ascii="Arial" w:hAnsi="Arial" w:cs="Arial"/>
                <w:sz w:val="18"/>
                <w:szCs w:val="18"/>
              </w:rPr>
              <w:t>ligning general government revenue and expense growth</w:t>
            </w:r>
          </w:p>
          <w:p w14:paraId="28CF3A03" w14:textId="442CC107" w:rsidR="0006295C" w:rsidRDefault="007D03C6" w:rsidP="0007261F">
            <w:pPr>
              <w:pStyle w:val="ListParagraph"/>
              <w:numPr>
                <w:ilvl w:val="0"/>
                <w:numId w:val="31"/>
              </w:numPr>
              <w:ind w:left="357" w:hanging="357"/>
              <w:rPr>
                <w:rFonts w:ascii="Arial" w:hAnsi="Arial" w:cs="Arial"/>
                <w:sz w:val="18"/>
                <w:szCs w:val="18"/>
              </w:rPr>
            </w:pPr>
            <w:r>
              <w:rPr>
                <w:rFonts w:ascii="Arial" w:hAnsi="Arial" w:cs="Arial"/>
                <w:sz w:val="18"/>
                <w:szCs w:val="18"/>
              </w:rPr>
              <w:t>s</w:t>
            </w:r>
            <w:r w:rsidR="0006295C">
              <w:rPr>
                <w:rFonts w:ascii="Arial" w:hAnsi="Arial" w:cs="Arial"/>
                <w:sz w:val="18"/>
                <w:szCs w:val="18"/>
              </w:rPr>
              <w:t>table and predictable taxation policies</w:t>
            </w:r>
          </w:p>
          <w:p w14:paraId="11B27CAF" w14:textId="4CE76B41" w:rsidR="00484D11" w:rsidRPr="00DE6652" w:rsidRDefault="007D03C6" w:rsidP="0007261F">
            <w:pPr>
              <w:pStyle w:val="ListParagraph"/>
              <w:numPr>
                <w:ilvl w:val="0"/>
                <w:numId w:val="31"/>
              </w:numPr>
              <w:tabs>
                <w:tab w:val="left" w:pos="1028"/>
              </w:tabs>
              <w:ind w:left="357" w:hanging="357"/>
              <w:rPr>
                <w:rFonts w:ascii="Arial" w:hAnsi="Arial" w:cs="Arial"/>
                <w:sz w:val="18"/>
                <w:szCs w:val="18"/>
              </w:rPr>
            </w:pPr>
            <w:r>
              <w:rPr>
                <w:rFonts w:ascii="Arial" w:hAnsi="Arial" w:cs="Arial"/>
                <w:sz w:val="18"/>
                <w:szCs w:val="18"/>
              </w:rPr>
              <w:t>i</w:t>
            </w:r>
            <w:r w:rsidR="0006295C">
              <w:rPr>
                <w:rFonts w:ascii="Arial" w:hAnsi="Arial" w:cs="Arial"/>
                <w:sz w:val="18"/>
                <w:szCs w:val="18"/>
              </w:rPr>
              <w:t>nvestment in infrastructure that has the highest benefit for the community</w:t>
            </w:r>
            <w:r w:rsidR="006C5164">
              <w:rPr>
                <w:rFonts w:ascii="Arial" w:hAnsi="Arial" w:cs="Arial"/>
                <w:sz w:val="18"/>
                <w:szCs w:val="18"/>
              </w:rPr>
              <w:t>.</w:t>
            </w:r>
          </w:p>
        </w:tc>
      </w:tr>
      <w:tr w:rsidR="006D06BC" w:rsidRPr="006021EA" w14:paraId="15864E38" w14:textId="77777777" w:rsidTr="00857FDD">
        <w:trPr>
          <w:trHeight w:val="1561"/>
        </w:trPr>
        <w:tc>
          <w:tcPr>
            <w:tcW w:w="1560" w:type="dxa"/>
            <w:vMerge/>
            <w:tcBorders>
              <w:top w:val="nil"/>
              <w:bottom w:val="nil"/>
            </w:tcBorders>
            <w:vAlign w:val="center"/>
          </w:tcPr>
          <w:p w14:paraId="5260BF3E" w14:textId="77777777" w:rsidR="006D06BC" w:rsidRPr="006021EA" w:rsidRDefault="006D06BC" w:rsidP="007C58CD">
            <w:pPr>
              <w:spacing w:after="480"/>
              <w:rPr>
                <w:rFonts w:ascii="Arial" w:hAnsi="Arial" w:cs="Arial"/>
                <w:sz w:val="18"/>
                <w:szCs w:val="18"/>
              </w:rPr>
            </w:pPr>
          </w:p>
        </w:tc>
        <w:tc>
          <w:tcPr>
            <w:tcW w:w="3402" w:type="dxa"/>
            <w:tcBorders>
              <w:top w:val="nil"/>
              <w:bottom w:val="nil"/>
            </w:tcBorders>
            <w:shd w:val="clear" w:color="auto" w:fill="auto"/>
          </w:tcPr>
          <w:p w14:paraId="64957D8C" w14:textId="14E175A6" w:rsidR="006D06BC" w:rsidRPr="006E6BF6" w:rsidDel="006D06BC" w:rsidRDefault="007D5D96" w:rsidP="0007261F">
            <w:pPr>
              <w:pStyle w:val="ListParagraph"/>
              <w:numPr>
                <w:ilvl w:val="0"/>
                <w:numId w:val="32"/>
              </w:numPr>
              <w:spacing w:before="60"/>
              <w:rPr>
                <w:rFonts w:ascii="Arial" w:hAnsi="Arial" w:cs="Arial"/>
                <w:sz w:val="18"/>
                <w:szCs w:val="18"/>
              </w:rPr>
            </w:pPr>
            <w:r>
              <w:rPr>
                <w:rFonts w:ascii="Arial" w:hAnsi="Arial" w:cs="Arial"/>
                <w:sz w:val="18"/>
                <w:szCs w:val="18"/>
              </w:rPr>
              <w:t xml:space="preserve">The </w:t>
            </w:r>
            <w:r w:rsidR="00381D11">
              <w:rPr>
                <w:rFonts w:ascii="Arial" w:hAnsi="Arial" w:cs="Arial"/>
                <w:sz w:val="18"/>
                <w:szCs w:val="18"/>
              </w:rPr>
              <w:t>elimination</w:t>
            </w:r>
            <w:r>
              <w:rPr>
                <w:rFonts w:ascii="Arial" w:hAnsi="Arial" w:cs="Arial"/>
                <w:sz w:val="18"/>
                <w:szCs w:val="18"/>
              </w:rPr>
              <w:t xml:space="preserve"> of the State’s </w:t>
            </w:r>
            <w:r w:rsidR="00E10B1E">
              <w:rPr>
                <w:rFonts w:ascii="Arial" w:hAnsi="Arial" w:cs="Arial"/>
                <w:sz w:val="18"/>
                <w:szCs w:val="18"/>
              </w:rPr>
              <w:t xml:space="preserve">unfunded </w:t>
            </w:r>
            <w:r>
              <w:rPr>
                <w:rFonts w:ascii="Arial" w:hAnsi="Arial" w:cs="Arial"/>
                <w:sz w:val="18"/>
                <w:szCs w:val="18"/>
              </w:rPr>
              <w:t>superannuation liability by 20</w:t>
            </w:r>
            <w:r w:rsidR="00C402EE">
              <w:rPr>
                <w:rFonts w:ascii="Arial" w:hAnsi="Arial" w:cs="Arial"/>
                <w:sz w:val="18"/>
                <w:szCs w:val="18"/>
              </w:rPr>
              <w:t>3</w:t>
            </w:r>
            <w:r>
              <w:rPr>
                <w:rFonts w:ascii="Arial" w:hAnsi="Arial" w:cs="Arial"/>
                <w:sz w:val="18"/>
                <w:szCs w:val="18"/>
              </w:rPr>
              <w:t>0</w:t>
            </w:r>
          </w:p>
        </w:tc>
        <w:tc>
          <w:tcPr>
            <w:tcW w:w="4677" w:type="dxa"/>
            <w:tcBorders>
              <w:top w:val="nil"/>
              <w:bottom w:val="nil"/>
            </w:tcBorders>
            <w:shd w:val="clear" w:color="auto" w:fill="auto"/>
          </w:tcPr>
          <w:p w14:paraId="1F2262E9" w14:textId="7923717A" w:rsidR="00BB13BB" w:rsidRDefault="00C02A3E" w:rsidP="007D5D96">
            <w:pPr>
              <w:shd w:val="clear" w:color="auto" w:fill="FFFFFF"/>
              <w:rPr>
                <w:rFonts w:ascii="Arial" w:hAnsi="Arial" w:cs="Arial"/>
                <w:sz w:val="18"/>
                <w:szCs w:val="18"/>
              </w:rPr>
            </w:pPr>
            <w:r w:rsidRPr="00B56E37">
              <w:rPr>
                <w:rFonts w:ascii="Arial" w:hAnsi="Arial" w:cs="Arial"/>
                <w:sz w:val="18"/>
                <w:szCs w:val="18"/>
              </w:rPr>
              <w:t>Principle No 2 is</w:t>
            </w:r>
            <w:r w:rsidR="00523F9B">
              <w:rPr>
                <w:rFonts w:ascii="Arial" w:hAnsi="Arial" w:cs="Arial"/>
                <w:sz w:val="18"/>
                <w:szCs w:val="18"/>
              </w:rPr>
              <w:t xml:space="preserve"> </w:t>
            </w:r>
            <w:r w:rsidR="007D5D96">
              <w:rPr>
                <w:rFonts w:ascii="Arial" w:hAnsi="Arial" w:cs="Arial"/>
                <w:sz w:val="18"/>
                <w:szCs w:val="18"/>
              </w:rPr>
              <w:t>effective financial and asset management, including sound policies and processes for:</w:t>
            </w:r>
          </w:p>
          <w:p w14:paraId="5FC55393" w14:textId="68C053D5" w:rsidR="007D5D96" w:rsidRDefault="006C7DCC" w:rsidP="0007261F">
            <w:pPr>
              <w:pStyle w:val="ListParagraph"/>
              <w:numPr>
                <w:ilvl w:val="0"/>
                <w:numId w:val="34"/>
              </w:numPr>
              <w:shd w:val="clear" w:color="auto" w:fill="FFFFFF"/>
              <w:ind w:left="357" w:hanging="357"/>
              <w:rPr>
                <w:rFonts w:ascii="Arial" w:hAnsi="Arial" w:cs="Arial"/>
                <w:sz w:val="18"/>
                <w:szCs w:val="18"/>
              </w:rPr>
            </w:pPr>
            <w:r>
              <w:rPr>
                <w:rFonts w:ascii="Arial" w:hAnsi="Arial" w:cs="Arial"/>
                <w:sz w:val="18"/>
                <w:szCs w:val="18"/>
              </w:rPr>
              <w:t>performance management and reporting</w:t>
            </w:r>
          </w:p>
          <w:p w14:paraId="7522C4F7" w14:textId="355D016C" w:rsidR="006C7DCC" w:rsidRDefault="006C7DCC" w:rsidP="0007261F">
            <w:pPr>
              <w:pStyle w:val="ListParagraph"/>
              <w:numPr>
                <w:ilvl w:val="0"/>
                <w:numId w:val="34"/>
              </w:numPr>
              <w:shd w:val="clear" w:color="auto" w:fill="FFFFFF"/>
              <w:ind w:left="357" w:hanging="357"/>
              <w:rPr>
                <w:rFonts w:ascii="Arial" w:hAnsi="Arial" w:cs="Arial"/>
                <w:sz w:val="18"/>
                <w:szCs w:val="18"/>
              </w:rPr>
            </w:pPr>
            <w:r>
              <w:rPr>
                <w:rFonts w:ascii="Arial" w:hAnsi="Arial" w:cs="Arial"/>
                <w:sz w:val="18"/>
                <w:szCs w:val="18"/>
              </w:rPr>
              <w:t>asset maintenance and enhancement</w:t>
            </w:r>
          </w:p>
          <w:p w14:paraId="237ADD56" w14:textId="4C0C6D6A" w:rsidR="006C7DCC" w:rsidRDefault="006C7DCC" w:rsidP="0007261F">
            <w:pPr>
              <w:pStyle w:val="ListParagraph"/>
              <w:numPr>
                <w:ilvl w:val="0"/>
                <w:numId w:val="34"/>
              </w:numPr>
              <w:shd w:val="clear" w:color="auto" w:fill="FFFFFF"/>
              <w:ind w:left="357" w:hanging="357"/>
              <w:rPr>
                <w:rFonts w:ascii="Arial" w:hAnsi="Arial" w:cs="Arial"/>
                <w:sz w:val="18"/>
                <w:szCs w:val="18"/>
              </w:rPr>
            </w:pPr>
            <w:r>
              <w:rPr>
                <w:rFonts w:ascii="Arial" w:hAnsi="Arial" w:cs="Arial"/>
                <w:sz w:val="18"/>
                <w:szCs w:val="18"/>
              </w:rPr>
              <w:t>funding decisions</w:t>
            </w:r>
          </w:p>
          <w:p w14:paraId="55FE3D66" w14:textId="28F3D2B0" w:rsidR="007D5D96" w:rsidRPr="00FC38CF" w:rsidRDefault="006C7DCC" w:rsidP="0007261F">
            <w:pPr>
              <w:pStyle w:val="ListParagraph"/>
              <w:numPr>
                <w:ilvl w:val="0"/>
                <w:numId w:val="34"/>
              </w:numPr>
              <w:shd w:val="clear" w:color="auto" w:fill="FFFFFF"/>
              <w:ind w:left="357" w:hanging="357"/>
              <w:rPr>
                <w:rFonts w:ascii="Arial" w:hAnsi="Arial" w:cs="Arial"/>
                <w:sz w:val="18"/>
                <w:szCs w:val="18"/>
              </w:rPr>
            </w:pPr>
            <w:r>
              <w:rPr>
                <w:rFonts w:ascii="Arial" w:hAnsi="Arial" w:cs="Arial"/>
                <w:sz w:val="18"/>
                <w:szCs w:val="18"/>
              </w:rPr>
              <w:t>risk management practices.</w:t>
            </w:r>
          </w:p>
        </w:tc>
      </w:tr>
      <w:tr w:rsidR="007C58CD" w:rsidRPr="006021EA" w14:paraId="667B13DA" w14:textId="77777777" w:rsidTr="00857FDD">
        <w:trPr>
          <w:trHeight w:val="70"/>
        </w:trPr>
        <w:tc>
          <w:tcPr>
            <w:tcW w:w="1560" w:type="dxa"/>
            <w:vMerge/>
            <w:tcBorders>
              <w:top w:val="nil"/>
              <w:bottom w:val="nil"/>
            </w:tcBorders>
          </w:tcPr>
          <w:p w14:paraId="47273FF8" w14:textId="77777777" w:rsidR="007C58CD" w:rsidRPr="006021EA" w:rsidRDefault="007C58CD" w:rsidP="00281B5F">
            <w:pPr>
              <w:rPr>
                <w:rFonts w:ascii="Arial" w:hAnsi="Arial" w:cs="Arial"/>
                <w:sz w:val="18"/>
                <w:szCs w:val="18"/>
              </w:rPr>
            </w:pPr>
          </w:p>
        </w:tc>
        <w:tc>
          <w:tcPr>
            <w:tcW w:w="3402" w:type="dxa"/>
            <w:tcBorders>
              <w:top w:val="nil"/>
              <w:bottom w:val="nil"/>
            </w:tcBorders>
            <w:shd w:val="clear" w:color="auto" w:fill="auto"/>
          </w:tcPr>
          <w:p w14:paraId="47CDE6B5" w14:textId="459EA8C5" w:rsidR="007C58CD" w:rsidRPr="00237BC6" w:rsidRDefault="007C58CD" w:rsidP="00237BC6">
            <w:pPr>
              <w:spacing w:before="60"/>
              <w:rPr>
                <w:rFonts w:ascii="Arial" w:hAnsi="Arial" w:cs="Arial"/>
                <w:sz w:val="18"/>
                <w:szCs w:val="18"/>
              </w:rPr>
            </w:pPr>
          </w:p>
        </w:tc>
        <w:tc>
          <w:tcPr>
            <w:tcW w:w="4677" w:type="dxa"/>
            <w:tcBorders>
              <w:top w:val="nil"/>
              <w:bottom w:val="nil"/>
            </w:tcBorders>
            <w:shd w:val="clear" w:color="auto" w:fill="auto"/>
          </w:tcPr>
          <w:p w14:paraId="4A190AB4" w14:textId="4C7F8D31" w:rsidR="007C58CD" w:rsidRPr="006E6BF6" w:rsidRDefault="005978FD" w:rsidP="00DE6652">
            <w:pPr>
              <w:spacing w:before="60"/>
              <w:rPr>
                <w:rFonts w:ascii="Arial" w:hAnsi="Arial" w:cs="Arial"/>
                <w:sz w:val="18"/>
                <w:szCs w:val="18"/>
              </w:rPr>
            </w:pPr>
            <w:r>
              <w:rPr>
                <w:rFonts w:ascii="Arial" w:hAnsi="Arial" w:cs="Arial"/>
                <w:sz w:val="18"/>
                <w:szCs w:val="18"/>
              </w:rPr>
              <w:t>Principle No 3 is a</w:t>
            </w:r>
            <w:r w:rsidR="007C58CD" w:rsidRPr="006E6BF6">
              <w:rPr>
                <w:rFonts w:ascii="Arial" w:hAnsi="Arial" w:cs="Arial"/>
                <w:sz w:val="18"/>
                <w:szCs w:val="18"/>
              </w:rPr>
              <w:t>chieving intergenerational equity</w:t>
            </w:r>
            <w:r>
              <w:rPr>
                <w:rFonts w:ascii="Arial" w:hAnsi="Arial" w:cs="Arial"/>
                <w:sz w:val="18"/>
                <w:szCs w:val="18"/>
              </w:rPr>
              <w:t>, including ensuring that</w:t>
            </w:r>
            <w:r w:rsidR="00E17C15">
              <w:rPr>
                <w:rFonts w:ascii="Arial" w:hAnsi="Arial" w:cs="Arial"/>
                <w:sz w:val="18"/>
                <w:szCs w:val="18"/>
              </w:rPr>
              <w:t>:</w:t>
            </w:r>
          </w:p>
          <w:p w14:paraId="49DDB395" w14:textId="4EE88525" w:rsidR="007C58CD" w:rsidRDefault="007C58CD" w:rsidP="0007261F">
            <w:pPr>
              <w:pStyle w:val="ListParagraph"/>
              <w:numPr>
                <w:ilvl w:val="0"/>
                <w:numId w:val="35"/>
              </w:numPr>
              <w:shd w:val="clear" w:color="auto" w:fill="FFFFFF"/>
              <w:ind w:left="357" w:hanging="357"/>
              <w:rPr>
                <w:rFonts w:ascii="Arial" w:hAnsi="Arial" w:cs="Arial"/>
                <w:sz w:val="18"/>
                <w:szCs w:val="18"/>
              </w:rPr>
            </w:pPr>
            <w:r>
              <w:rPr>
                <w:rFonts w:ascii="Arial" w:hAnsi="Arial" w:cs="Arial"/>
                <w:sz w:val="18"/>
                <w:szCs w:val="18"/>
              </w:rPr>
              <w:t>p</w:t>
            </w:r>
            <w:r w:rsidRPr="006021EA">
              <w:rPr>
                <w:rFonts w:ascii="Arial" w:hAnsi="Arial" w:cs="Arial"/>
                <w:sz w:val="18"/>
                <w:szCs w:val="18"/>
              </w:rPr>
              <w:t xml:space="preserve">olicy </w:t>
            </w:r>
            <w:r w:rsidR="007D5D96">
              <w:rPr>
                <w:rFonts w:ascii="Arial" w:hAnsi="Arial" w:cs="Arial"/>
                <w:sz w:val="18"/>
                <w:szCs w:val="18"/>
              </w:rPr>
              <w:t>decisions are made</w:t>
            </w:r>
            <w:r w:rsidR="007D5D96" w:rsidRPr="006021EA">
              <w:rPr>
                <w:rFonts w:ascii="Arial" w:hAnsi="Arial" w:cs="Arial"/>
                <w:sz w:val="18"/>
                <w:szCs w:val="18"/>
              </w:rPr>
              <w:t xml:space="preserve"> ha</w:t>
            </w:r>
            <w:r w:rsidR="007D5D96">
              <w:rPr>
                <w:rFonts w:ascii="Arial" w:hAnsi="Arial" w:cs="Arial"/>
                <w:sz w:val="18"/>
                <w:szCs w:val="18"/>
              </w:rPr>
              <w:t>ving</w:t>
            </w:r>
            <w:r w:rsidRPr="006021EA">
              <w:rPr>
                <w:rFonts w:ascii="Arial" w:hAnsi="Arial" w:cs="Arial"/>
                <w:sz w:val="18"/>
                <w:szCs w:val="18"/>
              </w:rPr>
              <w:t xml:space="preserve"> regard </w:t>
            </w:r>
            <w:r w:rsidR="006A3B44">
              <w:rPr>
                <w:rFonts w:ascii="Arial" w:hAnsi="Arial" w:cs="Arial"/>
                <w:sz w:val="18"/>
                <w:szCs w:val="18"/>
              </w:rPr>
              <w:t>to</w:t>
            </w:r>
            <w:r w:rsidRPr="006021EA">
              <w:rPr>
                <w:rFonts w:ascii="Arial" w:hAnsi="Arial" w:cs="Arial"/>
                <w:sz w:val="18"/>
                <w:szCs w:val="18"/>
              </w:rPr>
              <w:t xml:space="preserve"> </w:t>
            </w:r>
            <w:r w:rsidR="000A611B">
              <w:rPr>
                <w:rFonts w:ascii="Arial" w:hAnsi="Arial" w:cs="Arial"/>
                <w:sz w:val="18"/>
                <w:szCs w:val="18"/>
              </w:rPr>
              <w:t xml:space="preserve">their </w:t>
            </w:r>
            <w:r w:rsidR="007D5D96">
              <w:rPr>
                <w:rFonts w:ascii="Arial" w:hAnsi="Arial" w:cs="Arial"/>
                <w:sz w:val="18"/>
                <w:szCs w:val="18"/>
              </w:rPr>
              <w:t xml:space="preserve">financial </w:t>
            </w:r>
            <w:r w:rsidRPr="006021EA">
              <w:rPr>
                <w:rFonts w:ascii="Arial" w:hAnsi="Arial" w:cs="Arial"/>
                <w:sz w:val="18"/>
                <w:szCs w:val="18"/>
              </w:rPr>
              <w:t>effects on future generations</w:t>
            </w:r>
          </w:p>
          <w:p w14:paraId="411890E2" w14:textId="66A0935C" w:rsidR="002C2E70" w:rsidRPr="00DE6652" w:rsidRDefault="00484D11" w:rsidP="0007261F">
            <w:pPr>
              <w:pStyle w:val="ListParagraph"/>
              <w:numPr>
                <w:ilvl w:val="0"/>
                <w:numId w:val="35"/>
              </w:numPr>
              <w:shd w:val="clear" w:color="auto" w:fill="FFFFFF"/>
              <w:ind w:left="357" w:hanging="357"/>
              <w:rPr>
                <w:rFonts w:ascii="Arial" w:hAnsi="Arial" w:cs="Arial"/>
                <w:sz w:val="18"/>
                <w:szCs w:val="18"/>
              </w:rPr>
            </w:pPr>
            <w:r>
              <w:rPr>
                <w:rFonts w:ascii="Arial" w:hAnsi="Arial" w:cs="Arial"/>
                <w:sz w:val="18"/>
                <w:szCs w:val="18"/>
              </w:rPr>
              <w:t xml:space="preserve">the current generation </w:t>
            </w:r>
            <w:r w:rsidR="007D5D96">
              <w:rPr>
                <w:rFonts w:ascii="Arial" w:hAnsi="Arial" w:cs="Arial"/>
                <w:sz w:val="18"/>
                <w:szCs w:val="18"/>
              </w:rPr>
              <w:t>funds</w:t>
            </w:r>
            <w:r>
              <w:rPr>
                <w:rFonts w:ascii="Arial" w:hAnsi="Arial" w:cs="Arial"/>
                <w:sz w:val="18"/>
                <w:szCs w:val="18"/>
              </w:rPr>
              <w:t xml:space="preserve"> the cost of its service</w:t>
            </w:r>
            <w:r w:rsidRPr="00237BC6">
              <w:rPr>
                <w:rFonts w:ascii="Arial" w:hAnsi="Arial" w:cs="Arial"/>
                <w:sz w:val="18"/>
                <w:szCs w:val="18"/>
              </w:rPr>
              <w:t>s</w:t>
            </w:r>
            <w:r w:rsidR="00E471A4">
              <w:rPr>
                <w:rFonts w:ascii="Arial" w:hAnsi="Arial" w:cs="Arial"/>
                <w:sz w:val="18"/>
                <w:szCs w:val="18"/>
              </w:rPr>
              <w:t>.</w:t>
            </w:r>
          </w:p>
        </w:tc>
      </w:tr>
    </w:tbl>
    <w:p w14:paraId="132B8C93" w14:textId="7A590910" w:rsidR="001D0A45" w:rsidRPr="00FE0702" w:rsidRDefault="000A2F84" w:rsidP="00A5618F">
      <w:pPr>
        <w:pStyle w:val="Heading2"/>
      </w:pPr>
      <w:r w:rsidRPr="00181A01">
        <w:t>Performance</w:t>
      </w:r>
    </w:p>
    <w:p w14:paraId="08BCA1E5" w14:textId="11BDB1D8" w:rsidR="001D0A45" w:rsidRPr="001E54E2" w:rsidRDefault="00B13ED2" w:rsidP="00A5618F">
      <w:pPr>
        <w:pStyle w:val="Heading3"/>
      </w:pPr>
      <w:r>
        <w:t xml:space="preserve">Maintaining the triple-A </w:t>
      </w:r>
      <w:r w:rsidR="00824F8D">
        <w:t xml:space="preserve">credit </w:t>
      </w:r>
      <w:r>
        <w:t>rating</w:t>
      </w:r>
    </w:p>
    <w:p w14:paraId="37795FCC" w14:textId="4E084CA0" w:rsidR="002B1C72" w:rsidRDefault="001D0A45" w:rsidP="00181A01">
      <w:pPr>
        <w:pStyle w:val="BodyText"/>
      </w:pPr>
      <w:r>
        <w:t>New South Wales</w:t>
      </w:r>
      <w:r w:rsidR="00961015">
        <w:t xml:space="preserve"> continue</w:t>
      </w:r>
      <w:r w:rsidR="00B13ED2">
        <w:t>s</w:t>
      </w:r>
      <w:r w:rsidR="00961015">
        <w:t xml:space="preserve"> to meet the objective of th</w:t>
      </w:r>
      <w:r w:rsidR="007D0263">
        <w:t>e FRA</w:t>
      </w:r>
      <w:r w:rsidR="00B13ED2">
        <w:t>. B</w:t>
      </w:r>
      <w:r w:rsidR="00961015">
        <w:t xml:space="preserve">oth </w:t>
      </w:r>
      <w:r w:rsidR="00B13ED2">
        <w:t xml:space="preserve">major credit rating agencies – </w:t>
      </w:r>
      <w:r w:rsidR="00961015">
        <w:t xml:space="preserve">S&amp;P </w:t>
      </w:r>
      <w:r w:rsidR="00790C47">
        <w:t>Global</w:t>
      </w:r>
      <w:r w:rsidR="00961015">
        <w:t xml:space="preserve"> </w:t>
      </w:r>
      <w:r w:rsidR="00B13ED2">
        <w:t xml:space="preserve">and </w:t>
      </w:r>
      <w:r w:rsidR="00961015">
        <w:t xml:space="preserve">Moody’s </w:t>
      </w:r>
      <w:r w:rsidR="00B13ED2">
        <w:t>– reaffirmed the State’s triple-A</w:t>
      </w:r>
      <w:r w:rsidR="00824F8D">
        <w:t xml:space="preserve"> credit</w:t>
      </w:r>
      <w:r w:rsidR="00B13ED2">
        <w:t xml:space="preserve"> rating</w:t>
      </w:r>
      <w:r w:rsidR="009C1B7E">
        <w:t xml:space="preserve"> in </w:t>
      </w:r>
      <w:r w:rsidR="00DE6B99">
        <w:t>September 2019</w:t>
      </w:r>
      <w:r w:rsidR="7EC20FBB">
        <w:t>.</w:t>
      </w:r>
    </w:p>
    <w:p w14:paraId="479B9466" w14:textId="2B4478A1" w:rsidR="001D0A45" w:rsidRDefault="00475095" w:rsidP="00181A01">
      <w:pPr>
        <w:pStyle w:val="BodyText"/>
      </w:pPr>
      <w:r>
        <w:t>T</w:t>
      </w:r>
      <w:r w:rsidR="00D92601" w:rsidRPr="001E54E2">
        <w:t>he</w:t>
      </w:r>
      <w:r w:rsidR="00B13ED2">
        <w:t xml:space="preserve"> credit</w:t>
      </w:r>
      <w:r w:rsidR="00D92601" w:rsidRPr="001E54E2">
        <w:t xml:space="preserve"> rating for </w:t>
      </w:r>
      <w:r w:rsidR="00824F8D">
        <w:t>S</w:t>
      </w:r>
      <w:r w:rsidR="00D92601" w:rsidRPr="001E54E2">
        <w:t xml:space="preserve">tates and </w:t>
      </w:r>
      <w:r w:rsidR="00824F8D">
        <w:t>T</w:t>
      </w:r>
      <w:r w:rsidR="00D92601" w:rsidRPr="001E54E2">
        <w:t xml:space="preserve">erritories </w:t>
      </w:r>
      <w:r w:rsidR="00B13ED2">
        <w:t>is</w:t>
      </w:r>
      <w:r w:rsidR="00D92601" w:rsidRPr="001E54E2">
        <w:t xml:space="preserve"> capped by the rating on the sovereign</w:t>
      </w:r>
      <w:r w:rsidR="00B13ED2">
        <w:t xml:space="preserve">, the </w:t>
      </w:r>
      <w:r w:rsidR="00615A33">
        <w:t>Commonwealth Government</w:t>
      </w:r>
      <w:r w:rsidR="00D92601" w:rsidRPr="001E54E2">
        <w:t>.</w:t>
      </w:r>
      <w:r w:rsidR="00DA74B4">
        <w:t xml:space="preserve"> </w:t>
      </w:r>
      <w:r w:rsidR="00F82B48">
        <w:t>Accordingly, following S&amp;P</w:t>
      </w:r>
      <w:r>
        <w:t xml:space="preserve"> </w:t>
      </w:r>
      <w:proofErr w:type="spellStart"/>
      <w:r>
        <w:t>Global</w:t>
      </w:r>
      <w:r w:rsidR="00F82B48">
        <w:t>’s</w:t>
      </w:r>
      <w:proofErr w:type="spellEnd"/>
      <w:r w:rsidR="00F82B48">
        <w:t xml:space="preserve"> decision to place Australia on negative outlook in </w:t>
      </w:r>
      <w:r w:rsidR="0095215F">
        <w:t>April</w:t>
      </w:r>
      <w:r w:rsidR="00527887">
        <w:t xml:space="preserve"> 2020</w:t>
      </w:r>
      <w:r w:rsidR="00DA74B4">
        <w:t xml:space="preserve">, </w:t>
      </w:r>
      <w:r w:rsidR="00554CA2">
        <w:t xml:space="preserve">New South Wales (and the other triple-A rated States and Territories) </w:t>
      </w:r>
      <w:r w:rsidR="008C1B3F">
        <w:t xml:space="preserve">were concurrently placed </w:t>
      </w:r>
      <w:r w:rsidR="00763F3D">
        <w:t xml:space="preserve">on negative outlook </w:t>
      </w:r>
      <w:r w:rsidR="00554CA2">
        <w:t>as States cannot have a higher rating than the Commonwealth. In the event of a further downgrade to the Commonwealth rating, this would automatically flow through to New South Wales</w:t>
      </w:r>
      <w:r w:rsidR="00B907FA">
        <w:t>.</w:t>
      </w:r>
      <w:r w:rsidR="00D92601">
        <w:t xml:space="preserve"> </w:t>
      </w:r>
    </w:p>
    <w:p w14:paraId="7A1DAF4E" w14:textId="7CD47793" w:rsidR="00CA4C1E" w:rsidRDefault="00C479B0" w:rsidP="00937D77">
      <w:pPr>
        <w:pStyle w:val="BodyText"/>
      </w:pPr>
      <w:r>
        <w:t>New South Wales</w:t>
      </w:r>
      <w:r w:rsidR="002330CF">
        <w:t xml:space="preserve"> </w:t>
      </w:r>
      <w:r w:rsidR="006D7801">
        <w:t>is</w:t>
      </w:r>
      <w:r w:rsidR="007F614E">
        <w:t xml:space="preserve"> one </w:t>
      </w:r>
      <w:r w:rsidR="00860DE7">
        <w:t xml:space="preserve">of </w:t>
      </w:r>
      <w:r w:rsidR="00ED7EB8" w:rsidRPr="001E52B0">
        <w:t>t</w:t>
      </w:r>
      <w:r w:rsidR="00A7186C">
        <w:t>wo</w:t>
      </w:r>
      <w:r w:rsidR="00ED7EB8">
        <w:t xml:space="preserve"> </w:t>
      </w:r>
      <w:r w:rsidR="00860DE7">
        <w:t xml:space="preserve">Australian states and one </w:t>
      </w:r>
      <w:r w:rsidR="007F614E">
        <w:t xml:space="preserve">of </w:t>
      </w:r>
      <w:r w:rsidR="007F614E" w:rsidRPr="005E5056">
        <w:t>f</w:t>
      </w:r>
      <w:r w:rsidR="00943C7C">
        <w:t>our</w:t>
      </w:r>
      <w:r w:rsidR="007F614E">
        <w:t xml:space="preserve"> </w:t>
      </w:r>
      <w:r w:rsidR="0090627E">
        <w:t xml:space="preserve">comparable sub-sovereigns </w:t>
      </w:r>
      <w:r w:rsidR="002B6138">
        <w:t xml:space="preserve">outside the United States </w:t>
      </w:r>
      <w:r w:rsidR="002220A1">
        <w:t xml:space="preserve">to </w:t>
      </w:r>
      <w:r w:rsidR="002B6138">
        <w:t>hold</w:t>
      </w:r>
      <w:r w:rsidR="007F614E">
        <w:t xml:space="preserve"> a triple-A credit rating from both Moody</w:t>
      </w:r>
      <w:r w:rsidR="001A7879">
        <w:t>’s and</w:t>
      </w:r>
      <w:r w:rsidR="00937D77">
        <w:t xml:space="preserve"> </w:t>
      </w:r>
      <w:r w:rsidR="00024C4A">
        <w:t>S</w:t>
      </w:r>
      <w:r w:rsidR="006D7801">
        <w:t>&amp;</w:t>
      </w:r>
      <w:r w:rsidR="00024C4A">
        <w:t>P</w:t>
      </w:r>
      <w:r w:rsidR="008C41E2">
        <w:t xml:space="preserve"> Global</w:t>
      </w:r>
      <w:r w:rsidR="00D7045B">
        <w:t xml:space="preserve"> (refer Table </w:t>
      </w:r>
      <w:r w:rsidR="00A2769D">
        <w:t>E</w:t>
      </w:r>
      <w:r w:rsidR="00D7045B">
        <w:t>.2)</w:t>
      </w:r>
      <w:r w:rsidR="00DB6F37">
        <w:t>.</w:t>
      </w:r>
      <w:r w:rsidR="00F06966">
        <w:br w:type="page"/>
      </w:r>
    </w:p>
    <w:p w14:paraId="55FBAEA1" w14:textId="4A78BECC" w:rsidR="002B6138" w:rsidRDefault="007E76C4" w:rsidP="0072365F">
      <w:pPr>
        <w:pStyle w:val="TableEX"/>
      </w:pPr>
      <w:r>
        <w:lastRenderedPageBreak/>
        <w:t>New South Wales is one of f</w:t>
      </w:r>
      <w:r w:rsidR="007B1A3E">
        <w:t>our</w:t>
      </w:r>
      <w:r>
        <w:t xml:space="preserve"> </w:t>
      </w:r>
      <w:r w:rsidR="005B5354">
        <w:t>s</w:t>
      </w:r>
      <w:r>
        <w:t>tates rated triple-A by Moody’s and S&amp;P</w:t>
      </w:r>
      <w:r w:rsidR="008C41E2">
        <w:t xml:space="preserve"> Global</w:t>
      </w:r>
      <w:r w:rsidR="00375D90" w:rsidRPr="003321D8">
        <w:rPr>
          <w:vertAlign w:val="superscript"/>
        </w:rPr>
        <w:t>(</w:t>
      </w:r>
      <w:r w:rsidR="00B078A2" w:rsidRPr="003321D8">
        <w:rPr>
          <w:vertAlign w:val="superscript"/>
        </w:rPr>
        <w:t>a)</w:t>
      </w:r>
      <w:r w:rsidR="00281B5F" w:rsidRPr="00FE0702">
        <w:t xml:space="preserve"> </w:t>
      </w:r>
    </w:p>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E.2: New South Wales is one of four states rated triple-A by Moody’s and S&amp;P Global(a) "/>
        <w:tblDescription w:val="Table E.2: New South Wales is one of four states rated triple-A by Moody’s and S&amp;P Global(a) "/>
      </w:tblPr>
      <w:tblGrid>
        <w:gridCol w:w="3973"/>
        <w:gridCol w:w="3965"/>
      </w:tblGrid>
      <w:tr w:rsidR="00BF0B48" w:rsidRPr="00937D77" w14:paraId="29F84489" w14:textId="77777777" w:rsidTr="001626ED">
        <w:trPr>
          <w:jc w:val="center"/>
        </w:trPr>
        <w:tc>
          <w:tcPr>
            <w:tcW w:w="3973" w:type="dxa"/>
            <w:shd w:val="clear" w:color="auto" w:fill="00426F"/>
          </w:tcPr>
          <w:p w14:paraId="31A2F364" w14:textId="6CE8B53C" w:rsidR="00937D77" w:rsidRPr="00937D77" w:rsidRDefault="00937D77" w:rsidP="001626ED">
            <w:pPr>
              <w:spacing w:before="100" w:after="100"/>
              <w:jc w:val="both"/>
              <w:rPr>
                <w:rFonts w:ascii="Arial" w:hAnsi="Arial" w:cs="Arial"/>
                <w:b/>
                <w:color w:val="FFFFFF" w:themeColor="background1"/>
                <w:sz w:val="18"/>
                <w:szCs w:val="18"/>
              </w:rPr>
            </w:pPr>
            <w:r w:rsidRPr="00937D77">
              <w:rPr>
                <w:rFonts w:ascii="Arial" w:hAnsi="Arial" w:cs="Arial"/>
                <w:b/>
                <w:color w:val="FFFFFF" w:themeColor="background1"/>
                <w:sz w:val="18"/>
                <w:szCs w:val="18"/>
              </w:rPr>
              <w:t>Moody’s</w:t>
            </w:r>
          </w:p>
        </w:tc>
        <w:tc>
          <w:tcPr>
            <w:tcW w:w="3965" w:type="dxa"/>
            <w:shd w:val="clear" w:color="auto" w:fill="00426F"/>
          </w:tcPr>
          <w:p w14:paraId="536021A9" w14:textId="67951D9F" w:rsidR="00937D77" w:rsidRPr="00937D77" w:rsidRDefault="00937D77" w:rsidP="001626ED">
            <w:pPr>
              <w:spacing w:before="100" w:after="100"/>
              <w:rPr>
                <w:rFonts w:ascii="Arial" w:hAnsi="Arial" w:cs="Arial"/>
                <w:b/>
                <w:color w:val="FFFFFF" w:themeColor="background1"/>
                <w:sz w:val="18"/>
                <w:szCs w:val="18"/>
              </w:rPr>
            </w:pPr>
            <w:r w:rsidRPr="00937D77">
              <w:rPr>
                <w:rFonts w:ascii="Arial" w:hAnsi="Arial" w:cs="Arial"/>
                <w:b/>
                <w:color w:val="FFFFFF" w:themeColor="background1"/>
                <w:sz w:val="18"/>
                <w:szCs w:val="18"/>
              </w:rPr>
              <w:t>S&amp;P</w:t>
            </w:r>
            <w:r w:rsidR="008C41E2">
              <w:rPr>
                <w:rFonts w:ascii="Arial" w:hAnsi="Arial" w:cs="Arial"/>
                <w:b/>
                <w:color w:val="FFFFFF" w:themeColor="background1"/>
                <w:sz w:val="18"/>
                <w:szCs w:val="18"/>
              </w:rPr>
              <w:t xml:space="preserve"> Global</w:t>
            </w:r>
          </w:p>
        </w:tc>
      </w:tr>
      <w:tr w:rsidR="00937D77" w:rsidRPr="00937D77" w14:paraId="2E1AE5F2" w14:textId="77777777" w:rsidTr="00611BB0">
        <w:trPr>
          <w:jc w:val="center"/>
        </w:trPr>
        <w:tc>
          <w:tcPr>
            <w:tcW w:w="3973" w:type="dxa"/>
          </w:tcPr>
          <w:p w14:paraId="346A0414" w14:textId="4AD9ABEE" w:rsidR="00937D77" w:rsidRPr="00271717" w:rsidRDefault="00937D77" w:rsidP="00937D77">
            <w:pPr>
              <w:pStyle w:val="TableEX"/>
              <w:numPr>
                <w:ilvl w:val="0"/>
                <w:numId w:val="0"/>
              </w:numPr>
              <w:spacing w:before="60" w:after="60"/>
              <w:rPr>
                <w:b/>
                <w:i w:val="0"/>
                <w:color w:val="auto"/>
                <w:sz w:val="18"/>
              </w:rPr>
            </w:pPr>
            <w:r w:rsidRPr="00271717">
              <w:rPr>
                <w:b/>
                <w:i w:val="0"/>
                <w:color w:val="auto"/>
                <w:sz w:val="18"/>
              </w:rPr>
              <w:t>New South Wales</w:t>
            </w:r>
            <w:r w:rsidR="00662963" w:rsidRPr="00271717">
              <w:rPr>
                <w:b/>
                <w:i w:val="0"/>
                <w:color w:val="auto"/>
                <w:sz w:val="18"/>
              </w:rPr>
              <w:t xml:space="preserve"> (AU)</w:t>
            </w:r>
          </w:p>
        </w:tc>
        <w:tc>
          <w:tcPr>
            <w:tcW w:w="3965" w:type="dxa"/>
          </w:tcPr>
          <w:p w14:paraId="622B319B" w14:textId="5E3CB76B" w:rsidR="00937D77" w:rsidRPr="00271717" w:rsidRDefault="00937D77" w:rsidP="00937D77">
            <w:pPr>
              <w:pStyle w:val="TableEX"/>
              <w:numPr>
                <w:ilvl w:val="0"/>
                <w:numId w:val="0"/>
              </w:numPr>
              <w:spacing w:before="60" w:after="60"/>
              <w:rPr>
                <w:b/>
                <w:i w:val="0"/>
                <w:color w:val="auto"/>
                <w:sz w:val="18"/>
              </w:rPr>
            </w:pPr>
            <w:r w:rsidRPr="00271717">
              <w:rPr>
                <w:b/>
                <w:i w:val="0"/>
                <w:color w:val="auto"/>
                <w:sz w:val="18"/>
              </w:rPr>
              <w:t>New South Wales</w:t>
            </w:r>
            <w:r w:rsidR="00662963" w:rsidRPr="00271717">
              <w:rPr>
                <w:b/>
                <w:i w:val="0"/>
                <w:color w:val="auto"/>
                <w:sz w:val="18"/>
              </w:rPr>
              <w:t xml:space="preserve"> (AU)</w:t>
            </w:r>
          </w:p>
        </w:tc>
      </w:tr>
      <w:tr w:rsidR="00937D77" w:rsidRPr="00937D77" w14:paraId="69FF5E51" w14:textId="77777777" w:rsidTr="00611BB0">
        <w:trPr>
          <w:jc w:val="center"/>
        </w:trPr>
        <w:tc>
          <w:tcPr>
            <w:tcW w:w="3973" w:type="dxa"/>
          </w:tcPr>
          <w:p w14:paraId="58F43833" w14:textId="0BF0E0DC" w:rsidR="00937D77" w:rsidRPr="001E52B0" w:rsidRDefault="00937D77" w:rsidP="00937D77">
            <w:pPr>
              <w:pStyle w:val="TableEX"/>
              <w:numPr>
                <w:ilvl w:val="0"/>
                <w:numId w:val="0"/>
              </w:numPr>
              <w:spacing w:before="60" w:after="60"/>
              <w:rPr>
                <w:b/>
                <w:i w:val="0"/>
                <w:color w:val="auto"/>
                <w:sz w:val="18"/>
              </w:rPr>
            </w:pPr>
            <w:r w:rsidRPr="001E52B0">
              <w:rPr>
                <w:b/>
                <w:i w:val="0"/>
                <w:color w:val="auto"/>
                <w:sz w:val="18"/>
              </w:rPr>
              <w:t>Victoria</w:t>
            </w:r>
            <w:r w:rsidR="00662963" w:rsidRPr="001E52B0">
              <w:rPr>
                <w:b/>
                <w:i w:val="0"/>
                <w:color w:val="auto"/>
                <w:sz w:val="18"/>
              </w:rPr>
              <w:t xml:space="preserve"> (AU)</w:t>
            </w:r>
          </w:p>
        </w:tc>
        <w:tc>
          <w:tcPr>
            <w:tcW w:w="3965" w:type="dxa"/>
          </w:tcPr>
          <w:p w14:paraId="2C1CDAB7" w14:textId="3C6B6554" w:rsidR="00937D77" w:rsidRPr="001E52B0" w:rsidRDefault="00937D77" w:rsidP="00937D77">
            <w:pPr>
              <w:pStyle w:val="TableEX"/>
              <w:numPr>
                <w:ilvl w:val="0"/>
                <w:numId w:val="0"/>
              </w:numPr>
              <w:spacing w:before="60" w:after="60"/>
              <w:rPr>
                <w:b/>
                <w:i w:val="0"/>
                <w:color w:val="auto"/>
                <w:sz w:val="18"/>
              </w:rPr>
            </w:pPr>
            <w:r w:rsidRPr="001E52B0">
              <w:rPr>
                <w:b/>
                <w:i w:val="0"/>
                <w:color w:val="auto"/>
                <w:sz w:val="18"/>
              </w:rPr>
              <w:t>Victoria</w:t>
            </w:r>
            <w:r w:rsidR="00662963" w:rsidRPr="001E52B0">
              <w:rPr>
                <w:b/>
                <w:i w:val="0"/>
                <w:color w:val="auto"/>
                <w:sz w:val="18"/>
              </w:rPr>
              <w:t xml:space="preserve"> (AU)</w:t>
            </w:r>
          </w:p>
        </w:tc>
      </w:tr>
      <w:tr w:rsidR="00937D77" w:rsidRPr="00937D77" w14:paraId="094FEED8" w14:textId="77777777" w:rsidTr="00611BB0">
        <w:trPr>
          <w:jc w:val="center"/>
        </w:trPr>
        <w:tc>
          <w:tcPr>
            <w:tcW w:w="3973" w:type="dxa"/>
          </w:tcPr>
          <w:p w14:paraId="04D24057" w14:textId="6254BEFF" w:rsidR="00937D77" w:rsidRPr="00271717" w:rsidRDefault="00271717" w:rsidP="00937D77">
            <w:pPr>
              <w:pStyle w:val="TableEX"/>
              <w:numPr>
                <w:ilvl w:val="0"/>
                <w:numId w:val="0"/>
              </w:numPr>
              <w:spacing w:before="60" w:after="60"/>
              <w:rPr>
                <w:b/>
                <w:i w:val="0"/>
                <w:color w:val="auto"/>
                <w:sz w:val="18"/>
              </w:rPr>
            </w:pPr>
            <w:r w:rsidRPr="00271717">
              <w:rPr>
                <w:b/>
                <w:i w:val="0"/>
                <w:color w:val="auto"/>
                <w:sz w:val="18"/>
              </w:rPr>
              <w:t>British Columbia (CA)</w:t>
            </w:r>
          </w:p>
        </w:tc>
        <w:tc>
          <w:tcPr>
            <w:tcW w:w="3965" w:type="dxa"/>
          </w:tcPr>
          <w:p w14:paraId="10FB0733" w14:textId="30BB1DFB" w:rsidR="00937D77" w:rsidRPr="00937D77" w:rsidRDefault="00937D77" w:rsidP="00937D77">
            <w:pPr>
              <w:pStyle w:val="TableEX"/>
              <w:numPr>
                <w:ilvl w:val="0"/>
                <w:numId w:val="0"/>
              </w:numPr>
              <w:spacing w:before="60" w:after="60"/>
              <w:rPr>
                <w:i w:val="0"/>
                <w:color w:val="auto"/>
                <w:sz w:val="18"/>
              </w:rPr>
            </w:pPr>
            <w:r>
              <w:rPr>
                <w:i w:val="0"/>
                <w:color w:val="auto"/>
                <w:sz w:val="18"/>
              </w:rPr>
              <w:t>Australian Capital Territory</w:t>
            </w:r>
            <w:r w:rsidR="00662963">
              <w:rPr>
                <w:i w:val="0"/>
                <w:color w:val="auto"/>
                <w:sz w:val="18"/>
              </w:rPr>
              <w:t xml:space="preserve"> (AU)</w:t>
            </w:r>
          </w:p>
        </w:tc>
      </w:tr>
      <w:tr w:rsidR="00ED7EB8" w:rsidRPr="00937D77" w14:paraId="0647D8FC" w14:textId="77777777" w:rsidTr="00611BB0">
        <w:trPr>
          <w:jc w:val="center"/>
        </w:trPr>
        <w:tc>
          <w:tcPr>
            <w:tcW w:w="3973" w:type="dxa"/>
          </w:tcPr>
          <w:p w14:paraId="6AE62D90" w14:textId="416FF14A" w:rsidR="00ED7EB8" w:rsidRPr="00271717" w:rsidRDefault="00ED7EB8" w:rsidP="00ED7EB8">
            <w:pPr>
              <w:pStyle w:val="TableEX"/>
              <w:numPr>
                <w:ilvl w:val="0"/>
                <w:numId w:val="0"/>
              </w:numPr>
              <w:spacing w:before="60" w:after="60"/>
              <w:rPr>
                <w:b/>
                <w:i w:val="0"/>
                <w:color w:val="auto"/>
                <w:sz w:val="18"/>
              </w:rPr>
            </w:pPr>
            <w:r w:rsidRPr="00937D77">
              <w:rPr>
                <w:i w:val="0"/>
                <w:color w:val="auto"/>
                <w:sz w:val="18"/>
              </w:rPr>
              <w:t>Saskatchewan (CA)</w:t>
            </w:r>
          </w:p>
        </w:tc>
        <w:tc>
          <w:tcPr>
            <w:tcW w:w="3965" w:type="dxa"/>
          </w:tcPr>
          <w:p w14:paraId="1B6ED757" w14:textId="52F66944" w:rsidR="00ED7EB8" w:rsidRDefault="00ED7EB8" w:rsidP="00ED7EB8">
            <w:pPr>
              <w:pStyle w:val="TableEX"/>
              <w:numPr>
                <w:ilvl w:val="0"/>
                <w:numId w:val="0"/>
              </w:numPr>
              <w:spacing w:before="60" w:after="60"/>
              <w:rPr>
                <w:i w:val="0"/>
                <w:color w:val="auto"/>
                <w:sz w:val="18"/>
              </w:rPr>
            </w:pPr>
            <w:r w:rsidRPr="00271717">
              <w:rPr>
                <w:b/>
                <w:i w:val="0"/>
                <w:color w:val="auto"/>
                <w:sz w:val="18"/>
              </w:rPr>
              <w:t>British Columbia (CA)</w:t>
            </w:r>
          </w:p>
        </w:tc>
      </w:tr>
      <w:tr w:rsidR="00ED7EB8" w:rsidRPr="00937D77" w14:paraId="1D01F2A9" w14:textId="77777777" w:rsidTr="00611BB0">
        <w:trPr>
          <w:jc w:val="center"/>
        </w:trPr>
        <w:tc>
          <w:tcPr>
            <w:tcW w:w="3973" w:type="dxa"/>
          </w:tcPr>
          <w:p w14:paraId="5A8A9A9A" w14:textId="470D9D63" w:rsidR="00ED7EB8" w:rsidRPr="00C50351" w:rsidRDefault="00ED7EB8" w:rsidP="00ED7EB8">
            <w:pPr>
              <w:pStyle w:val="TableEX"/>
              <w:numPr>
                <w:ilvl w:val="0"/>
                <w:numId w:val="0"/>
              </w:numPr>
              <w:spacing w:before="60" w:after="60"/>
              <w:rPr>
                <w:i w:val="0"/>
                <w:color w:val="auto"/>
                <w:sz w:val="18"/>
              </w:rPr>
            </w:pPr>
            <w:r w:rsidRPr="00C50351">
              <w:rPr>
                <w:i w:val="0"/>
                <w:color w:val="auto"/>
                <w:sz w:val="18"/>
              </w:rPr>
              <w:t>Baden-Wuerttemberg (DE)</w:t>
            </w:r>
          </w:p>
        </w:tc>
        <w:tc>
          <w:tcPr>
            <w:tcW w:w="3965" w:type="dxa"/>
          </w:tcPr>
          <w:p w14:paraId="1259E063" w14:textId="56B8E29B" w:rsidR="00ED7EB8" w:rsidRPr="00271717" w:rsidRDefault="00ED7EB8" w:rsidP="00ED7EB8">
            <w:pPr>
              <w:pStyle w:val="TableEX"/>
              <w:numPr>
                <w:ilvl w:val="0"/>
                <w:numId w:val="0"/>
              </w:numPr>
              <w:spacing w:before="60" w:after="60"/>
              <w:rPr>
                <w:b/>
                <w:i w:val="0"/>
                <w:color w:val="auto"/>
                <w:sz w:val="18"/>
              </w:rPr>
            </w:pPr>
            <w:r>
              <w:rPr>
                <w:i w:val="0"/>
                <w:color w:val="auto"/>
                <w:sz w:val="18"/>
              </w:rPr>
              <w:t>Vaud (CH</w:t>
            </w:r>
            <w:r w:rsidR="00D14B98">
              <w:rPr>
                <w:i w:val="0"/>
                <w:color w:val="auto"/>
                <w:sz w:val="18"/>
              </w:rPr>
              <w:t>E</w:t>
            </w:r>
            <w:r>
              <w:rPr>
                <w:i w:val="0"/>
                <w:color w:val="auto"/>
                <w:sz w:val="18"/>
              </w:rPr>
              <w:t>)</w:t>
            </w:r>
          </w:p>
        </w:tc>
      </w:tr>
      <w:tr w:rsidR="00ED7EB8" w:rsidRPr="00937D77" w14:paraId="2F649BC0" w14:textId="77777777" w:rsidTr="00611BB0">
        <w:trPr>
          <w:jc w:val="center"/>
        </w:trPr>
        <w:tc>
          <w:tcPr>
            <w:tcW w:w="3973" w:type="dxa"/>
          </w:tcPr>
          <w:p w14:paraId="6EC6F5D0" w14:textId="41146904" w:rsidR="00ED7EB8" w:rsidRPr="00271717" w:rsidRDefault="00ED7EB8" w:rsidP="00ED7EB8">
            <w:pPr>
              <w:pStyle w:val="TableEX"/>
              <w:numPr>
                <w:ilvl w:val="0"/>
                <w:numId w:val="0"/>
              </w:numPr>
              <w:spacing w:before="60" w:after="60"/>
              <w:rPr>
                <w:b/>
                <w:i w:val="0"/>
                <w:color w:val="auto"/>
                <w:sz w:val="18"/>
              </w:rPr>
            </w:pPr>
            <w:r w:rsidRPr="00271717">
              <w:rPr>
                <w:b/>
                <w:i w:val="0"/>
                <w:color w:val="auto"/>
                <w:sz w:val="18"/>
              </w:rPr>
              <w:t>Bavaria (DE)</w:t>
            </w:r>
          </w:p>
        </w:tc>
        <w:tc>
          <w:tcPr>
            <w:tcW w:w="3965" w:type="dxa"/>
          </w:tcPr>
          <w:p w14:paraId="61D12425" w14:textId="0DDA4827" w:rsidR="00ED7EB8" w:rsidRPr="00271717" w:rsidRDefault="00ED7EB8" w:rsidP="00ED7EB8">
            <w:pPr>
              <w:pStyle w:val="TableEX"/>
              <w:numPr>
                <w:ilvl w:val="0"/>
                <w:numId w:val="0"/>
              </w:numPr>
              <w:spacing w:before="60" w:after="60"/>
              <w:rPr>
                <w:b/>
                <w:i w:val="0"/>
                <w:color w:val="auto"/>
                <w:sz w:val="18"/>
              </w:rPr>
            </w:pPr>
            <w:r>
              <w:rPr>
                <w:i w:val="0"/>
                <w:color w:val="auto"/>
                <w:sz w:val="18"/>
              </w:rPr>
              <w:t>Zurich (CH</w:t>
            </w:r>
            <w:r w:rsidR="00D14B98">
              <w:rPr>
                <w:i w:val="0"/>
                <w:color w:val="auto"/>
                <w:sz w:val="18"/>
              </w:rPr>
              <w:t>E</w:t>
            </w:r>
            <w:r>
              <w:rPr>
                <w:i w:val="0"/>
                <w:color w:val="auto"/>
                <w:sz w:val="18"/>
              </w:rPr>
              <w:t>)</w:t>
            </w:r>
          </w:p>
        </w:tc>
      </w:tr>
      <w:tr w:rsidR="000D1765" w:rsidRPr="00937D77" w14:paraId="055BF748" w14:textId="77777777" w:rsidTr="00611BB0">
        <w:trPr>
          <w:jc w:val="center"/>
        </w:trPr>
        <w:tc>
          <w:tcPr>
            <w:tcW w:w="3973" w:type="dxa"/>
          </w:tcPr>
          <w:p w14:paraId="41B7D557" w14:textId="705BBE1F" w:rsidR="000D1765" w:rsidRPr="00937D77" w:rsidRDefault="000D1765" w:rsidP="000D1765">
            <w:pPr>
              <w:pStyle w:val="TableEX"/>
              <w:numPr>
                <w:ilvl w:val="0"/>
                <w:numId w:val="0"/>
              </w:numPr>
              <w:spacing w:before="60" w:after="60"/>
              <w:rPr>
                <w:i w:val="0"/>
                <w:color w:val="auto"/>
                <w:sz w:val="18"/>
              </w:rPr>
            </w:pPr>
            <w:r w:rsidRPr="00937D77">
              <w:rPr>
                <w:i w:val="0"/>
                <w:color w:val="auto"/>
                <w:sz w:val="18"/>
              </w:rPr>
              <w:t>Brandenburg (DE)</w:t>
            </w:r>
          </w:p>
        </w:tc>
        <w:tc>
          <w:tcPr>
            <w:tcW w:w="3965" w:type="dxa"/>
          </w:tcPr>
          <w:p w14:paraId="4480341C" w14:textId="153C844F" w:rsidR="000D1765" w:rsidRPr="00271717" w:rsidRDefault="000D1765" w:rsidP="000D1765">
            <w:pPr>
              <w:pStyle w:val="TableEX"/>
              <w:numPr>
                <w:ilvl w:val="0"/>
                <w:numId w:val="0"/>
              </w:numPr>
              <w:spacing w:before="60" w:after="60"/>
              <w:rPr>
                <w:b/>
                <w:i w:val="0"/>
                <w:color w:val="auto"/>
                <w:sz w:val="18"/>
              </w:rPr>
            </w:pPr>
            <w:r w:rsidRPr="00271717">
              <w:rPr>
                <w:b/>
                <w:i w:val="0"/>
                <w:color w:val="auto"/>
                <w:sz w:val="18"/>
              </w:rPr>
              <w:t>Bavaria (DE)</w:t>
            </w:r>
          </w:p>
        </w:tc>
      </w:tr>
      <w:tr w:rsidR="000D1765" w:rsidRPr="00937D77" w14:paraId="7ADEA753" w14:textId="77777777" w:rsidTr="00611BB0">
        <w:trPr>
          <w:jc w:val="center"/>
        </w:trPr>
        <w:tc>
          <w:tcPr>
            <w:tcW w:w="3973" w:type="dxa"/>
          </w:tcPr>
          <w:p w14:paraId="342A4838" w14:textId="0A999F54" w:rsidR="000D1765" w:rsidRPr="00937D77" w:rsidRDefault="000D1765" w:rsidP="000D1765">
            <w:pPr>
              <w:pStyle w:val="TableEX"/>
              <w:numPr>
                <w:ilvl w:val="0"/>
                <w:numId w:val="0"/>
              </w:numPr>
              <w:spacing w:before="60" w:after="60"/>
              <w:rPr>
                <w:i w:val="0"/>
                <w:color w:val="auto"/>
                <w:sz w:val="18"/>
              </w:rPr>
            </w:pPr>
          </w:p>
        </w:tc>
        <w:tc>
          <w:tcPr>
            <w:tcW w:w="3965" w:type="dxa"/>
          </w:tcPr>
          <w:p w14:paraId="5521559F" w14:textId="4DAC8944" w:rsidR="000D1765" w:rsidRPr="00937D77" w:rsidRDefault="000D1765" w:rsidP="000D1765">
            <w:pPr>
              <w:pStyle w:val="TableEX"/>
              <w:numPr>
                <w:ilvl w:val="0"/>
                <w:numId w:val="0"/>
              </w:numPr>
              <w:spacing w:before="60" w:after="60"/>
              <w:rPr>
                <w:i w:val="0"/>
                <w:color w:val="auto"/>
                <w:sz w:val="18"/>
              </w:rPr>
            </w:pPr>
            <w:r>
              <w:rPr>
                <w:i w:val="0"/>
                <w:color w:val="auto"/>
                <w:sz w:val="18"/>
              </w:rPr>
              <w:t>Saxony (DE)</w:t>
            </w:r>
          </w:p>
        </w:tc>
      </w:tr>
    </w:tbl>
    <w:p w14:paraId="4198C256" w14:textId="77777777" w:rsidR="00381DD7" w:rsidRPr="003321D8" w:rsidRDefault="00381DD7" w:rsidP="00BF0B48">
      <w:pPr>
        <w:pStyle w:val="TableEX"/>
        <w:numPr>
          <w:ilvl w:val="0"/>
          <w:numId w:val="0"/>
        </w:numPr>
        <w:spacing w:before="100" w:after="60"/>
        <w:ind w:left="142"/>
        <w:contextualSpacing/>
        <w:rPr>
          <w:i w:val="0"/>
          <w:sz w:val="6"/>
          <w:szCs w:val="6"/>
        </w:rPr>
      </w:pPr>
    </w:p>
    <w:p w14:paraId="5997A472" w14:textId="634F58D4" w:rsidR="00AF64AD" w:rsidRPr="003321D8" w:rsidRDefault="007F5783" w:rsidP="0007261F">
      <w:pPr>
        <w:pStyle w:val="TableEX"/>
        <w:numPr>
          <w:ilvl w:val="0"/>
          <w:numId w:val="30"/>
        </w:numPr>
        <w:spacing w:before="100" w:after="60"/>
        <w:contextualSpacing/>
        <w:rPr>
          <w:i w:val="0"/>
          <w:color w:val="auto"/>
          <w:sz w:val="17"/>
          <w:szCs w:val="17"/>
        </w:rPr>
      </w:pPr>
      <w:r w:rsidRPr="003321D8">
        <w:rPr>
          <w:i w:val="0"/>
          <w:color w:val="auto"/>
          <w:sz w:val="17"/>
          <w:szCs w:val="17"/>
        </w:rPr>
        <w:t>Sub-sovereigns in bold text reflect a triple-A rating issued by both rating agencies.</w:t>
      </w:r>
    </w:p>
    <w:p w14:paraId="27BC0807" w14:textId="0C65D30D" w:rsidR="00BF0B48" w:rsidRPr="003321D8" w:rsidRDefault="00BF0B48" w:rsidP="00D53C13">
      <w:pPr>
        <w:pStyle w:val="TableEX"/>
        <w:numPr>
          <w:ilvl w:val="0"/>
          <w:numId w:val="0"/>
        </w:numPr>
        <w:spacing w:before="100" w:after="60"/>
        <w:ind w:firstLine="142"/>
        <w:contextualSpacing/>
        <w:rPr>
          <w:i w:val="0"/>
          <w:color w:val="auto"/>
          <w:sz w:val="17"/>
          <w:szCs w:val="17"/>
        </w:rPr>
      </w:pPr>
      <w:r w:rsidRPr="003321D8">
        <w:rPr>
          <w:i w:val="0"/>
          <w:color w:val="auto"/>
          <w:sz w:val="17"/>
          <w:szCs w:val="17"/>
        </w:rPr>
        <w:t xml:space="preserve">Note: shows </w:t>
      </w:r>
      <w:r w:rsidR="00DE4547" w:rsidRPr="003321D8">
        <w:rPr>
          <w:i w:val="0"/>
          <w:color w:val="auto"/>
          <w:sz w:val="17"/>
          <w:szCs w:val="17"/>
        </w:rPr>
        <w:t>sub-</w:t>
      </w:r>
      <w:r w:rsidR="005D2273" w:rsidRPr="003321D8">
        <w:rPr>
          <w:i w:val="0"/>
          <w:color w:val="auto"/>
          <w:sz w:val="17"/>
          <w:szCs w:val="17"/>
        </w:rPr>
        <w:t>sovereign</w:t>
      </w:r>
      <w:r w:rsidR="00AF64AD" w:rsidRPr="003321D8">
        <w:rPr>
          <w:i w:val="0"/>
          <w:color w:val="auto"/>
          <w:sz w:val="17"/>
          <w:szCs w:val="17"/>
        </w:rPr>
        <w:t xml:space="preserve">s </w:t>
      </w:r>
      <w:r w:rsidR="00DE4547" w:rsidRPr="003321D8">
        <w:rPr>
          <w:i w:val="0"/>
          <w:color w:val="auto"/>
          <w:sz w:val="17"/>
          <w:szCs w:val="17"/>
        </w:rPr>
        <w:t xml:space="preserve">comparable to </w:t>
      </w:r>
      <w:r w:rsidR="005D2273" w:rsidRPr="003321D8">
        <w:rPr>
          <w:i w:val="0"/>
          <w:color w:val="auto"/>
          <w:sz w:val="17"/>
          <w:szCs w:val="17"/>
        </w:rPr>
        <w:t>the State of New South Wales</w:t>
      </w:r>
      <w:r w:rsidR="00583A94">
        <w:rPr>
          <w:i w:val="0"/>
          <w:color w:val="auto"/>
          <w:sz w:val="17"/>
          <w:szCs w:val="17"/>
        </w:rPr>
        <w:t>,</w:t>
      </w:r>
      <w:r w:rsidR="005D2273" w:rsidRPr="003321D8">
        <w:rPr>
          <w:i w:val="0"/>
          <w:color w:val="auto"/>
          <w:sz w:val="17"/>
          <w:szCs w:val="17"/>
        </w:rPr>
        <w:t xml:space="preserve"> </w:t>
      </w:r>
      <w:r w:rsidR="003A074D">
        <w:rPr>
          <w:i w:val="0"/>
          <w:color w:val="auto"/>
          <w:sz w:val="17"/>
          <w:szCs w:val="17"/>
        </w:rPr>
        <w:t>e.g.</w:t>
      </w:r>
      <w:r w:rsidR="005D2273" w:rsidRPr="003321D8">
        <w:rPr>
          <w:i w:val="0"/>
          <w:color w:val="auto"/>
          <w:sz w:val="17"/>
          <w:szCs w:val="17"/>
        </w:rPr>
        <w:t xml:space="preserve"> </w:t>
      </w:r>
      <w:r w:rsidR="005930E4" w:rsidRPr="003321D8">
        <w:rPr>
          <w:i w:val="0"/>
          <w:color w:val="auto"/>
          <w:sz w:val="17"/>
          <w:szCs w:val="17"/>
        </w:rPr>
        <w:t xml:space="preserve">states, provinces, landers, </w:t>
      </w:r>
      <w:r w:rsidR="00A45772" w:rsidRPr="003321D8">
        <w:rPr>
          <w:i w:val="0"/>
          <w:color w:val="auto"/>
          <w:sz w:val="17"/>
          <w:szCs w:val="17"/>
        </w:rPr>
        <w:t>cantons</w:t>
      </w:r>
      <w:r w:rsidR="00AF64AD" w:rsidRPr="003321D8">
        <w:rPr>
          <w:i w:val="0"/>
          <w:color w:val="auto"/>
          <w:sz w:val="17"/>
          <w:szCs w:val="17"/>
        </w:rPr>
        <w:t>.</w:t>
      </w:r>
    </w:p>
    <w:p w14:paraId="0C9C5BF7" w14:textId="6A8FAADF" w:rsidR="00937D77" w:rsidRPr="003321D8" w:rsidRDefault="00BF0B48" w:rsidP="00BF0B48">
      <w:pPr>
        <w:pStyle w:val="TableEX"/>
        <w:numPr>
          <w:ilvl w:val="0"/>
          <w:numId w:val="0"/>
        </w:numPr>
        <w:spacing w:before="100" w:after="60"/>
        <w:ind w:firstLine="142"/>
        <w:contextualSpacing/>
        <w:rPr>
          <w:i w:val="0"/>
          <w:color w:val="auto"/>
          <w:sz w:val="17"/>
          <w:szCs w:val="17"/>
        </w:rPr>
      </w:pPr>
      <w:r w:rsidRPr="003321D8">
        <w:rPr>
          <w:i w:val="0"/>
          <w:color w:val="auto"/>
          <w:sz w:val="17"/>
          <w:szCs w:val="17"/>
        </w:rPr>
        <w:t>Abbreviations:</w:t>
      </w:r>
      <w:r w:rsidR="00662963" w:rsidRPr="003321D8">
        <w:rPr>
          <w:i w:val="0"/>
          <w:color w:val="auto"/>
          <w:sz w:val="17"/>
          <w:szCs w:val="17"/>
        </w:rPr>
        <w:t xml:space="preserve"> </w:t>
      </w:r>
      <w:r w:rsidR="00DA5674">
        <w:rPr>
          <w:i w:val="0"/>
          <w:color w:val="auto"/>
          <w:sz w:val="17"/>
          <w:szCs w:val="17"/>
        </w:rPr>
        <w:t>AU (</w:t>
      </w:r>
      <w:r w:rsidR="00662963" w:rsidRPr="003321D8">
        <w:rPr>
          <w:i w:val="0"/>
          <w:color w:val="auto"/>
          <w:sz w:val="17"/>
          <w:szCs w:val="17"/>
        </w:rPr>
        <w:t>Australia</w:t>
      </w:r>
      <w:r w:rsidR="00DA5674">
        <w:rPr>
          <w:i w:val="0"/>
          <w:color w:val="auto"/>
          <w:sz w:val="17"/>
          <w:szCs w:val="17"/>
        </w:rPr>
        <w:t>)</w:t>
      </w:r>
      <w:r w:rsidR="00662963" w:rsidRPr="003321D8">
        <w:rPr>
          <w:i w:val="0"/>
          <w:color w:val="auto"/>
          <w:sz w:val="17"/>
          <w:szCs w:val="17"/>
        </w:rPr>
        <w:t>,</w:t>
      </w:r>
      <w:r w:rsidRPr="003321D8">
        <w:rPr>
          <w:i w:val="0"/>
          <w:color w:val="auto"/>
          <w:sz w:val="17"/>
          <w:szCs w:val="17"/>
        </w:rPr>
        <w:t xml:space="preserve"> CA (Can</w:t>
      </w:r>
      <w:r w:rsidR="006D00E3" w:rsidRPr="003321D8">
        <w:rPr>
          <w:i w:val="0"/>
          <w:color w:val="auto"/>
          <w:sz w:val="17"/>
          <w:szCs w:val="17"/>
        </w:rPr>
        <w:t>a</w:t>
      </w:r>
      <w:r w:rsidRPr="003321D8">
        <w:rPr>
          <w:i w:val="0"/>
          <w:color w:val="auto"/>
          <w:sz w:val="17"/>
          <w:szCs w:val="17"/>
        </w:rPr>
        <w:t>da), CH (Switzerland) and DE (Germany)</w:t>
      </w:r>
    </w:p>
    <w:p w14:paraId="3AE98971" w14:textId="378ACCE7" w:rsidR="00F21364" w:rsidRPr="00D96C8B" w:rsidRDefault="00A04F33" w:rsidP="00D96C8B">
      <w:pPr>
        <w:pStyle w:val="Heading3"/>
        <w:rPr>
          <w:b w:val="0"/>
        </w:rPr>
      </w:pPr>
      <w:r>
        <w:t>Performance</w:t>
      </w:r>
      <w:r w:rsidR="00763F3D">
        <w:t xml:space="preserve"> against </w:t>
      </w:r>
      <w:r w:rsidR="00B13ED2">
        <w:t>the</w:t>
      </w:r>
      <w:r w:rsidR="00F21364" w:rsidRPr="00D96C8B">
        <w:t xml:space="preserve"> FRA </w:t>
      </w:r>
      <w:r w:rsidR="00281B5F" w:rsidRPr="00D96C8B">
        <w:t>t</w:t>
      </w:r>
      <w:r w:rsidR="00F21364" w:rsidRPr="00D96C8B">
        <w:t>argets</w:t>
      </w:r>
      <w:r w:rsidR="002B1C72" w:rsidRPr="00D96C8B">
        <w:t xml:space="preserve"> and </w:t>
      </w:r>
      <w:r w:rsidR="00281B5F" w:rsidRPr="00D96C8B">
        <w:t>p</w:t>
      </w:r>
      <w:r w:rsidR="002B1C72" w:rsidRPr="00D96C8B">
        <w:t>rinciples</w:t>
      </w:r>
      <w:r w:rsidR="002B1C72" w:rsidRPr="00D96C8B">
        <w:rPr>
          <w:b w:val="0"/>
        </w:rPr>
        <w:t xml:space="preserve"> </w:t>
      </w:r>
    </w:p>
    <w:p w14:paraId="2FDCD40A" w14:textId="48203305" w:rsidR="00693C3C" w:rsidRPr="003D0BAE" w:rsidRDefault="00D27FE7" w:rsidP="00662A3C">
      <w:pPr>
        <w:pStyle w:val="BodyText"/>
      </w:pPr>
      <w:r>
        <w:t xml:space="preserve">The COVID-19 pandemic has resulted in a deterioration </w:t>
      </w:r>
      <w:r w:rsidR="00693C3C" w:rsidRPr="003D0BAE">
        <w:t>in the fiscal outlook</w:t>
      </w:r>
      <w:r w:rsidR="008A359A">
        <w:t xml:space="preserve"> a</w:t>
      </w:r>
      <w:r>
        <w:t xml:space="preserve">nd </w:t>
      </w:r>
      <w:r w:rsidR="00693C3C" w:rsidRPr="003D0BAE">
        <w:t>ha</w:t>
      </w:r>
      <w:r w:rsidR="00693C3C">
        <w:t xml:space="preserve">s </w:t>
      </w:r>
      <w:r w:rsidR="00693C3C" w:rsidRPr="003D0BAE">
        <w:t>placed pressure on New South Wales to maintain the triple</w:t>
      </w:r>
      <w:r w:rsidR="002A2E79">
        <w:t>-</w:t>
      </w:r>
      <w:r w:rsidR="00693C3C" w:rsidRPr="003D0BAE">
        <w:t xml:space="preserve">A credit rating. </w:t>
      </w:r>
    </w:p>
    <w:p w14:paraId="45A6D7FC" w14:textId="41857538" w:rsidR="00F460AC" w:rsidRDefault="00693C3C" w:rsidP="00C50351">
      <w:pPr>
        <w:pStyle w:val="BodyText"/>
        <w:spacing w:after="200"/>
      </w:pPr>
      <w:r w:rsidRPr="003D0BAE">
        <w:t xml:space="preserve">The subdued revenue environment combined with future expense pressures presents a significant budget management challenge. </w:t>
      </w:r>
      <w:r w:rsidR="00C136B8">
        <w:t xml:space="preserve">In October 2020, </w:t>
      </w:r>
      <w:r w:rsidR="00DE0DAF">
        <w:t xml:space="preserve">S&amp;P Global reaffirmed </w:t>
      </w:r>
      <w:r w:rsidR="00E16215">
        <w:t>Australia’s</w:t>
      </w:r>
      <w:r w:rsidRPr="003D0BAE">
        <w:t xml:space="preserve"> </w:t>
      </w:r>
      <w:r>
        <w:t>rating as triple-A with negative outlook, which automatically flows through to New South Wales</w:t>
      </w:r>
      <w:r w:rsidRPr="003D0BAE">
        <w:t xml:space="preserve">. </w:t>
      </w:r>
      <w:r w:rsidR="00F460AC" w:rsidRPr="007A2AE0">
        <w:t xml:space="preserve">Should the </w:t>
      </w:r>
      <w:r w:rsidR="00E16215">
        <w:t>Commonwealth Government</w:t>
      </w:r>
      <w:r w:rsidR="00F460AC" w:rsidRPr="007A2AE0">
        <w:t xml:space="preserve"> be downgraded</w:t>
      </w:r>
      <w:r w:rsidR="00C136B8">
        <w:t xml:space="preserve"> in the future</w:t>
      </w:r>
      <w:r w:rsidR="00F460AC" w:rsidRPr="007A2AE0">
        <w:t xml:space="preserve">, New South Wales will </w:t>
      </w:r>
      <w:r w:rsidR="007A2AE0" w:rsidRPr="007A2AE0">
        <w:t xml:space="preserve">continue to manage the State’s fiscal position </w:t>
      </w:r>
      <w:r w:rsidR="00361501">
        <w:t xml:space="preserve">consistent with a stand-alone </w:t>
      </w:r>
      <w:r w:rsidR="007A2AE0" w:rsidRPr="007A2AE0">
        <w:t>triple-A credit rating.</w:t>
      </w:r>
    </w:p>
    <w:p w14:paraId="45BF5109" w14:textId="0AE31B9C" w:rsidR="00693C3C" w:rsidRDefault="00693C3C" w:rsidP="00C30FAB">
      <w:pPr>
        <w:spacing w:after="200" w:line="276" w:lineRule="auto"/>
        <w:rPr>
          <w:rFonts w:ascii="Arial" w:hAnsi="Arial"/>
          <w:sz w:val="23"/>
          <w:lang w:val="en-AU"/>
        </w:rPr>
      </w:pPr>
      <w:r w:rsidRPr="003D0BAE">
        <w:rPr>
          <w:rFonts w:ascii="Arial" w:hAnsi="Arial"/>
          <w:sz w:val="23"/>
          <w:lang w:val="en-AU"/>
        </w:rPr>
        <w:t xml:space="preserve">The principles of the FRA remain valid and should continue to be adhered to, in particular </w:t>
      </w:r>
      <w:r w:rsidRPr="00C136B8">
        <w:rPr>
          <w:rFonts w:ascii="Arial" w:hAnsi="Arial"/>
          <w:i/>
          <w:sz w:val="23"/>
          <w:lang w:val="en-AU"/>
        </w:rPr>
        <w:t>‘responsible and sustainable spending, taxation and infrastructure investment’</w:t>
      </w:r>
      <w:r w:rsidRPr="003D0BAE">
        <w:rPr>
          <w:rFonts w:ascii="Arial" w:hAnsi="Arial"/>
          <w:sz w:val="23"/>
          <w:lang w:val="en-AU"/>
        </w:rPr>
        <w:t xml:space="preserve"> and </w:t>
      </w:r>
      <w:r w:rsidRPr="00C136B8">
        <w:rPr>
          <w:rFonts w:ascii="Arial" w:hAnsi="Arial"/>
          <w:i/>
          <w:sz w:val="23"/>
          <w:lang w:val="en-AU"/>
        </w:rPr>
        <w:t>‘achieving intergenerational equity’</w:t>
      </w:r>
      <w:r w:rsidRPr="003D0BAE">
        <w:rPr>
          <w:rFonts w:ascii="Arial" w:hAnsi="Arial"/>
          <w:sz w:val="23"/>
          <w:lang w:val="en-AU"/>
        </w:rPr>
        <w:t xml:space="preserve">. </w:t>
      </w:r>
    </w:p>
    <w:p w14:paraId="2216A53B" w14:textId="75EE90B0" w:rsidR="004D3E17" w:rsidRPr="003D0BAE" w:rsidRDefault="008723AF" w:rsidP="00887D3C">
      <w:pPr>
        <w:pStyle w:val="BodyText"/>
      </w:pPr>
      <w:r w:rsidRPr="42A641F7">
        <w:t xml:space="preserve">With some </w:t>
      </w:r>
      <w:r w:rsidR="00A62949" w:rsidRPr="42A641F7">
        <w:t>significant</w:t>
      </w:r>
      <w:r w:rsidRPr="42A641F7">
        <w:t xml:space="preserve"> </w:t>
      </w:r>
      <w:r w:rsidR="00FF3DA3">
        <w:t xml:space="preserve">COVID-19 driven </w:t>
      </w:r>
      <w:r w:rsidRPr="42A641F7">
        <w:t xml:space="preserve">uncertainty remaining in the economic and fiscal outlook, the NSW Government will aim to update the </w:t>
      </w:r>
      <w:r w:rsidR="005B5354">
        <w:t>FRA</w:t>
      </w:r>
      <w:r w:rsidRPr="42A641F7">
        <w:t xml:space="preserve"> as</w:t>
      </w:r>
      <w:r w:rsidR="00A62949" w:rsidRPr="42A641F7">
        <w:t xml:space="preserve"> a clearer picture of the broader outlook emerges. </w:t>
      </w:r>
    </w:p>
    <w:p w14:paraId="66AC0397" w14:textId="66BC830B" w:rsidR="002B1C72" w:rsidRPr="002B1C72" w:rsidRDefault="002B1C72" w:rsidP="00A5618F">
      <w:pPr>
        <w:pStyle w:val="Heading4"/>
      </w:pPr>
      <w:r w:rsidRPr="002B1C72">
        <w:t xml:space="preserve">Target 1 – Expense growth </w:t>
      </w:r>
      <w:r w:rsidR="00F91709">
        <w:t>below</w:t>
      </w:r>
      <w:r w:rsidRPr="002B1C72">
        <w:t xml:space="preserve"> long-</w:t>
      </w:r>
      <w:r w:rsidR="00536AFD">
        <w:t xml:space="preserve">term </w:t>
      </w:r>
      <w:r w:rsidR="00BC305B">
        <w:t>average</w:t>
      </w:r>
      <w:r w:rsidRPr="002B1C72">
        <w:t xml:space="preserve"> revenue growth</w:t>
      </w:r>
    </w:p>
    <w:p w14:paraId="7012B775" w14:textId="06ACD049" w:rsidR="002B1C72" w:rsidRDefault="006D1807" w:rsidP="0072365F">
      <w:pPr>
        <w:pStyle w:val="BodyText"/>
      </w:pPr>
      <w:r>
        <w:t>The</w:t>
      </w:r>
      <w:r w:rsidR="002B1C72" w:rsidRPr="0072365F">
        <w:t xml:space="preserve"> </w:t>
      </w:r>
      <w:r w:rsidR="00497706">
        <w:t xml:space="preserve">FRA </w:t>
      </w:r>
      <w:r w:rsidR="00334E7B">
        <w:t>requires</w:t>
      </w:r>
      <w:r w:rsidR="00497706">
        <w:t xml:space="preserve"> </w:t>
      </w:r>
      <w:r w:rsidR="007212B9">
        <w:t xml:space="preserve">annual </w:t>
      </w:r>
      <w:r w:rsidR="00F12103">
        <w:t xml:space="preserve">general government </w:t>
      </w:r>
      <w:r w:rsidR="002B1C72" w:rsidRPr="0072365F">
        <w:t>expense growth</w:t>
      </w:r>
      <w:r w:rsidR="00095B14">
        <w:t xml:space="preserve"> to </w:t>
      </w:r>
      <w:r w:rsidR="00824F8D">
        <w:t>be maintained below</w:t>
      </w:r>
      <w:r w:rsidR="00E3156F">
        <w:t xml:space="preserve"> the</w:t>
      </w:r>
      <w:r w:rsidR="00BC305B">
        <w:t xml:space="preserve"> long</w:t>
      </w:r>
      <w:r w:rsidR="007A1FCA">
        <w:noBreakHyphen/>
      </w:r>
      <w:r w:rsidR="00536AFD">
        <w:t xml:space="preserve">term </w:t>
      </w:r>
      <w:r w:rsidR="00BC305B">
        <w:t>average</w:t>
      </w:r>
      <w:r w:rsidR="00F12103">
        <w:t xml:space="preserve"> general government</w:t>
      </w:r>
      <w:r w:rsidR="00BC305B">
        <w:t xml:space="preserve"> revenue growth</w:t>
      </w:r>
      <w:r w:rsidR="00536AFD">
        <w:t xml:space="preserve"> </w:t>
      </w:r>
      <w:r w:rsidR="005F47AE">
        <w:t>of</w:t>
      </w:r>
      <w:r w:rsidR="003F6270">
        <w:t xml:space="preserve"> </w:t>
      </w:r>
      <w:r w:rsidR="00536AFD">
        <w:t>5</w:t>
      </w:r>
      <w:r w:rsidR="00A04F33">
        <w:t>.</w:t>
      </w:r>
      <w:r w:rsidR="000F7398">
        <w:t>6</w:t>
      </w:r>
      <w:r w:rsidR="00536AFD">
        <w:t xml:space="preserve"> per cent</w:t>
      </w:r>
      <w:r w:rsidR="00AD1FFF">
        <w:t>,</w:t>
      </w:r>
      <w:r w:rsidR="00536AFD">
        <w:t xml:space="preserve"> as </w:t>
      </w:r>
      <w:r w:rsidR="00334E7B">
        <w:t xml:space="preserve">set in the </w:t>
      </w:r>
      <w:r w:rsidR="00334E7B" w:rsidRPr="00C15174">
        <w:rPr>
          <w:i/>
        </w:rPr>
        <w:t>Fiscal</w:t>
      </w:r>
      <w:r w:rsidR="00887D3C">
        <w:rPr>
          <w:i/>
        </w:rPr>
        <w:t> </w:t>
      </w:r>
      <w:r w:rsidR="00334E7B" w:rsidRPr="00C15174">
        <w:rPr>
          <w:i/>
        </w:rPr>
        <w:t>Responsibility Regulation 2013</w:t>
      </w:r>
      <w:r w:rsidR="5DA7DE40">
        <w:t>.</w:t>
      </w:r>
    </w:p>
    <w:p w14:paraId="71C9AD30" w14:textId="662718C3" w:rsidR="00666D6D" w:rsidRDefault="00D15590" w:rsidP="00A5618F">
      <w:pPr>
        <w:pStyle w:val="BodyText"/>
      </w:pPr>
      <w:r>
        <w:t xml:space="preserve">The </w:t>
      </w:r>
      <w:r w:rsidR="001B6139">
        <w:t>2019-20</w:t>
      </w:r>
      <w:r>
        <w:t xml:space="preserve"> expense growth </w:t>
      </w:r>
      <w:r w:rsidR="0054291F">
        <w:t xml:space="preserve">rate </w:t>
      </w:r>
      <w:r w:rsidR="0078070D">
        <w:t xml:space="preserve">of 9.7 per cent </w:t>
      </w:r>
      <w:r>
        <w:t>exceeded the long-term average revenue growth rate</w:t>
      </w:r>
      <w:r w:rsidR="0078070D">
        <w:t xml:space="preserve"> of 5.6</w:t>
      </w:r>
      <w:r w:rsidR="003E6D71">
        <w:t xml:space="preserve"> per cent</w:t>
      </w:r>
      <w:r w:rsidR="005F47AE">
        <w:t>,</w:t>
      </w:r>
      <w:r w:rsidR="003E6D71">
        <w:t xml:space="preserve"> primarily due to $</w:t>
      </w:r>
      <w:r w:rsidR="569B43E8">
        <w:t>4.</w:t>
      </w:r>
      <w:r w:rsidR="00EA78DE">
        <w:t>2</w:t>
      </w:r>
      <w:r w:rsidR="003E6D71">
        <w:t xml:space="preserve"> billion</w:t>
      </w:r>
      <w:r w:rsidR="00E50D58">
        <w:t xml:space="preserve"> of expenditure in 201</w:t>
      </w:r>
      <w:r w:rsidR="00811692">
        <w:t>9-20</w:t>
      </w:r>
      <w:r w:rsidR="003E6D71">
        <w:t xml:space="preserve"> </w:t>
      </w:r>
      <w:r w:rsidR="005F47AE">
        <w:t>in COVID-19 response and recovery</w:t>
      </w:r>
      <w:r w:rsidR="003E6D71">
        <w:t xml:space="preserve"> </w:t>
      </w:r>
      <w:r w:rsidR="00875287">
        <w:t>measures and</w:t>
      </w:r>
      <w:r w:rsidR="00366DAB">
        <w:t xml:space="preserve"> $1.</w:t>
      </w:r>
      <w:r w:rsidR="00EA78DE">
        <w:t>3</w:t>
      </w:r>
      <w:r w:rsidR="00366DAB">
        <w:t xml:space="preserve"> billion </w:t>
      </w:r>
      <w:r w:rsidR="007C2E94">
        <w:t xml:space="preserve">of </w:t>
      </w:r>
      <w:r w:rsidR="00C102BC">
        <w:t>s</w:t>
      </w:r>
      <w:r w:rsidR="00EC589F">
        <w:t xml:space="preserve">upport </w:t>
      </w:r>
      <w:r w:rsidR="00107601">
        <w:t xml:space="preserve">to </w:t>
      </w:r>
      <w:r w:rsidR="00C102BC">
        <w:t>bushfire</w:t>
      </w:r>
      <w:r w:rsidR="00317E3C">
        <w:t>-</w:t>
      </w:r>
      <w:r w:rsidR="00EB0F17">
        <w:t xml:space="preserve">affected </w:t>
      </w:r>
      <w:r w:rsidR="00107601">
        <w:t>communities</w:t>
      </w:r>
      <w:r w:rsidR="00EB0F17">
        <w:t xml:space="preserve">. </w:t>
      </w:r>
    </w:p>
    <w:p w14:paraId="4528BD0A" w14:textId="333D1319" w:rsidR="008A7911" w:rsidRDefault="00BA7E00" w:rsidP="00A5618F">
      <w:pPr>
        <w:pStyle w:val="BodyText"/>
      </w:pPr>
      <w:r>
        <w:t>The 2020-21</w:t>
      </w:r>
      <w:r w:rsidR="00666D6D">
        <w:t xml:space="preserve"> Budget forecasts that</w:t>
      </w:r>
      <w:r w:rsidR="008144F2">
        <w:t xml:space="preserve"> 2020-21</w:t>
      </w:r>
      <w:r w:rsidR="00666D6D">
        <w:t xml:space="preserve"> expense growth will</w:t>
      </w:r>
      <w:r w:rsidR="003B469D">
        <w:t xml:space="preserve"> be 11.</w:t>
      </w:r>
      <w:r w:rsidR="00CC7094">
        <w:t>2</w:t>
      </w:r>
      <w:r w:rsidR="003B469D">
        <w:t xml:space="preserve"> per cent, </w:t>
      </w:r>
      <w:r w:rsidR="00135044">
        <w:t xml:space="preserve">which would </w:t>
      </w:r>
      <w:r w:rsidR="1B77465A">
        <w:t>exceed</w:t>
      </w:r>
      <w:r w:rsidR="003B469D">
        <w:t xml:space="preserve"> the </w:t>
      </w:r>
      <w:r w:rsidR="00661B53">
        <w:t>long-term revenue growth</w:t>
      </w:r>
      <w:r w:rsidR="005F47AE">
        <w:t xml:space="preserve"> rate</w:t>
      </w:r>
      <w:r w:rsidR="00661B53">
        <w:t>.</w:t>
      </w:r>
      <w:r w:rsidR="00A90BE9">
        <w:t xml:space="preserve"> </w:t>
      </w:r>
      <w:r w:rsidR="004F7E79">
        <w:t xml:space="preserve">This is </w:t>
      </w:r>
      <w:r w:rsidR="008144F2">
        <w:t xml:space="preserve">primarily due to </w:t>
      </w:r>
      <w:r w:rsidR="005F47AE">
        <w:t xml:space="preserve">the </w:t>
      </w:r>
      <w:r w:rsidR="007C6384">
        <w:t>$7.</w:t>
      </w:r>
      <w:r w:rsidR="00EA78DE">
        <w:t>8</w:t>
      </w:r>
      <w:r w:rsidR="007C6384">
        <w:t xml:space="preserve"> billion of expenditure </w:t>
      </w:r>
      <w:r w:rsidR="005F47AE">
        <w:t>measures</w:t>
      </w:r>
      <w:r w:rsidR="007C6384">
        <w:t xml:space="preserve"> </w:t>
      </w:r>
      <w:r w:rsidR="002A10EE">
        <w:t xml:space="preserve">in 2020-21 </w:t>
      </w:r>
      <w:r w:rsidR="007C6384">
        <w:t>to</w:t>
      </w:r>
      <w:r w:rsidR="005F47AE">
        <w:t xml:space="preserve"> </w:t>
      </w:r>
      <w:r w:rsidR="007C6384">
        <w:t xml:space="preserve">support communities, businesses and the economy as part of </w:t>
      </w:r>
      <w:r w:rsidR="1C71D833">
        <w:t>the Government’s</w:t>
      </w:r>
      <w:r w:rsidR="6B004E4C">
        <w:t xml:space="preserve"> </w:t>
      </w:r>
      <w:r w:rsidR="007C6384">
        <w:t>package of response, recovery and reform measures</w:t>
      </w:r>
      <w:r w:rsidR="00D144AE">
        <w:t xml:space="preserve"> for COVID-19</w:t>
      </w:r>
      <w:r w:rsidR="00495100">
        <w:t>.</w:t>
      </w:r>
      <w:r w:rsidR="007C6384">
        <w:t xml:space="preserve"> </w:t>
      </w:r>
      <w:r w:rsidR="2F4C22D4">
        <w:t xml:space="preserve"> </w:t>
      </w:r>
      <w:r w:rsidR="21E01EF9">
        <w:t xml:space="preserve">  </w:t>
      </w:r>
      <w:r w:rsidR="001B6139">
        <w:t xml:space="preserve"> </w:t>
      </w:r>
    </w:p>
    <w:p w14:paraId="3D54BA30" w14:textId="77777777" w:rsidR="002D601D" w:rsidRPr="00883E75" w:rsidRDefault="002D601D" w:rsidP="00C50351"/>
    <w:p w14:paraId="76DBDF15" w14:textId="77777777" w:rsidR="00887D3C" w:rsidRDefault="00887D3C">
      <w:pPr>
        <w:spacing w:after="200" w:line="276" w:lineRule="auto"/>
        <w:rPr>
          <w:rFonts w:ascii="Arial" w:hAnsi="Arial"/>
          <w:sz w:val="23"/>
          <w:lang w:val="en-AU"/>
        </w:rPr>
      </w:pPr>
      <w:r>
        <w:br w:type="page"/>
      </w:r>
    </w:p>
    <w:p w14:paraId="2E47CD95" w14:textId="63301005" w:rsidR="001A5906" w:rsidRDefault="00250CA7" w:rsidP="00A5618F">
      <w:pPr>
        <w:pStyle w:val="BodyText"/>
      </w:pPr>
      <w:r>
        <w:t xml:space="preserve">From 2021-22 onwards, the Government is forecasting </w:t>
      </w:r>
      <w:r w:rsidR="009E417B">
        <w:t xml:space="preserve">annual </w:t>
      </w:r>
      <w:r>
        <w:t xml:space="preserve">expense growth to remain below the long-term revenue growth </w:t>
      </w:r>
      <w:r w:rsidR="005F47AE">
        <w:t xml:space="preserve">rate </w:t>
      </w:r>
      <w:r w:rsidR="00916636">
        <w:t>with restrain</w:t>
      </w:r>
      <w:r w:rsidR="00E145ED">
        <w:t>t on expenditure over the medium</w:t>
      </w:r>
      <w:r w:rsidR="00DF438E">
        <w:t xml:space="preserve"> </w:t>
      </w:r>
      <w:r w:rsidR="00E145ED">
        <w:t>term</w:t>
      </w:r>
      <w:r w:rsidR="0034782E">
        <w:t xml:space="preserve"> (see Chart E.1)</w:t>
      </w:r>
      <w:r w:rsidR="00E145ED">
        <w:t>.</w:t>
      </w:r>
      <w:r w:rsidR="00D432A7">
        <w:t xml:space="preserve"> </w:t>
      </w:r>
      <w:r w:rsidR="004C6CA7">
        <w:t xml:space="preserve">To ensure the State maintains its fiscal capacity to respond to future </w:t>
      </w:r>
      <w:r w:rsidR="005F47AE">
        <w:t xml:space="preserve">economic or </w:t>
      </w:r>
      <w:r w:rsidR="74F08461">
        <w:t>fiscal</w:t>
      </w:r>
      <w:r w:rsidR="005F47AE">
        <w:t xml:space="preserve"> </w:t>
      </w:r>
      <w:r w:rsidR="004C6CA7">
        <w:t>shocks</w:t>
      </w:r>
      <w:r w:rsidR="00F804CB">
        <w:t xml:space="preserve"> </w:t>
      </w:r>
      <w:r w:rsidR="00DE11C3">
        <w:t>over the medium</w:t>
      </w:r>
      <w:r w:rsidR="003E7262">
        <w:t xml:space="preserve"> </w:t>
      </w:r>
      <w:r w:rsidR="00DE11C3">
        <w:t>term</w:t>
      </w:r>
      <w:r w:rsidR="004C6CA7">
        <w:t>, the</w:t>
      </w:r>
      <w:r w:rsidR="008113AA">
        <w:t xml:space="preserve"> Government</w:t>
      </w:r>
      <w:r w:rsidR="00B50D4B">
        <w:t xml:space="preserve">’s fiscal strategy will </w:t>
      </w:r>
      <w:r w:rsidR="00B615FF">
        <w:t>pivot</w:t>
      </w:r>
      <w:r w:rsidR="00B50D4B">
        <w:t xml:space="preserve"> to fiscal re</w:t>
      </w:r>
      <w:r w:rsidR="00DE11C3">
        <w:t>pair</w:t>
      </w:r>
      <w:r w:rsidR="00B55658">
        <w:t xml:space="preserve"> </w:t>
      </w:r>
      <w:r w:rsidR="74CFAC10">
        <w:t>by</w:t>
      </w:r>
      <w:r w:rsidR="00B55658">
        <w:t xml:space="preserve"> maintaining </w:t>
      </w:r>
      <w:r w:rsidR="1ED002A8">
        <w:t>discipline on</w:t>
      </w:r>
      <w:r w:rsidR="00B55658">
        <w:t xml:space="preserve"> expenses</w:t>
      </w:r>
      <w:r w:rsidR="1ED002A8">
        <w:t xml:space="preserve">, </w:t>
      </w:r>
      <w:r w:rsidR="6A6A8484">
        <w:t>including</w:t>
      </w:r>
      <w:r w:rsidR="002A4A83">
        <w:t>:</w:t>
      </w:r>
    </w:p>
    <w:p w14:paraId="456AA212" w14:textId="77777777" w:rsidR="00DC033C" w:rsidRDefault="00E17AEA" w:rsidP="00856E17">
      <w:pPr>
        <w:pStyle w:val="Bullet1"/>
      </w:pPr>
      <w:r>
        <w:t xml:space="preserve">limits wages growth through the new wages policy </w:t>
      </w:r>
      <w:r w:rsidRPr="00FB544D">
        <w:t>which will save $4.</w:t>
      </w:r>
      <w:r>
        <w:t>3</w:t>
      </w:r>
      <w:r w:rsidRPr="00FB544D">
        <w:t xml:space="preserve"> billion over the four years to 2023-24</w:t>
      </w:r>
      <w:r w:rsidR="00481759">
        <w:t xml:space="preserve">. </w:t>
      </w:r>
      <w:r w:rsidR="00DC033C">
        <w:t xml:space="preserve">Noting: </w:t>
      </w:r>
    </w:p>
    <w:p w14:paraId="7EADD43C" w14:textId="3B9FBF85" w:rsidR="00F01F4E" w:rsidRDefault="002A356B" w:rsidP="00887D3C">
      <w:pPr>
        <w:pStyle w:val="Bullet2"/>
      </w:pPr>
      <w:r>
        <w:t>th</w:t>
      </w:r>
      <w:r w:rsidR="00481759">
        <w:t>is</w:t>
      </w:r>
      <w:r w:rsidR="00E17AEA">
        <w:t xml:space="preserve"> </w:t>
      </w:r>
      <w:r w:rsidR="00BF603E">
        <w:t xml:space="preserve">wages policy </w:t>
      </w:r>
      <w:r w:rsidR="00E17AEA">
        <w:t>inc</w:t>
      </w:r>
      <w:r w:rsidR="00F17730">
        <w:t>orporates</w:t>
      </w:r>
      <w:r w:rsidR="00F01F4E">
        <w:t>:</w:t>
      </w:r>
      <w:r w:rsidR="00DC033C">
        <w:t xml:space="preserve"> </w:t>
      </w:r>
    </w:p>
    <w:p w14:paraId="1034B64E" w14:textId="0A3F653D" w:rsidR="00AD1224" w:rsidRDefault="00E17AEA" w:rsidP="0007261F">
      <w:pPr>
        <w:pStyle w:val="Bullet1"/>
        <w:numPr>
          <w:ilvl w:val="2"/>
          <w:numId w:val="33"/>
        </w:numPr>
        <w:spacing w:before="80" w:after="40"/>
        <w:ind w:left="1077" w:hanging="357"/>
      </w:pPr>
      <w:r>
        <w:t>the Industrial Relations Commission determination limiting wages growth to 0.3</w:t>
      </w:r>
      <w:r w:rsidR="00460C2C">
        <w:t> </w:t>
      </w:r>
      <w:r>
        <w:t>per</w:t>
      </w:r>
      <w:r w:rsidR="00460C2C">
        <w:t> </w:t>
      </w:r>
      <w:r>
        <w:t>cent in 2020-21 for approximately 170,000 workers</w:t>
      </w:r>
    </w:p>
    <w:p w14:paraId="1FEEA9CD" w14:textId="77777777" w:rsidR="00494BEB" w:rsidRDefault="008E74BE" w:rsidP="0007261F">
      <w:pPr>
        <w:pStyle w:val="Bullet1"/>
        <w:numPr>
          <w:ilvl w:val="2"/>
          <w:numId w:val="33"/>
        </w:numPr>
        <w:spacing w:before="80" w:after="40"/>
        <w:ind w:left="1077" w:hanging="357"/>
      </w:pPr>
      <w:r>
        <w:t xml:space="preserve">a 12 month pause to wages </w:t>
      </w:r>
      <w:r w:rsidR="009E477D">
        <w:t xml:space="preserve">growth for </w:t>
      </w:r>
      <w:r w:rsidR="00494BEB">
        <w:t>senior public servants</w:t>
      </w:r>
      <w:r w:rsidR="00E17AEA">
        <w:t xml:space="preserve"> and </w:t>
      </w:r>
      <w:r w:rsidR="00494BEB">
        <w:t>members of Parliament</w:t>
      </w:r>
    </w:p>
    <w:p w14:paraId="763309A1" w14:textId="45E38035" w:rsidR="00625D2F" w:rsidRDefault="00B70329" w:rsidP="0007261F">
      <w:pPr>
        <w:pStyle w:val="Bullet1"/>
        <w:numPr>
          <w:ilvl w:val="2"/>
          <w:numId w:val="33"/>
        </w:numPr>
        <w:spacing w:before="80" w:after="40"/>
        <w:ind w:left="1077" w:hanging="357"/>
      </w:pPr>
      <w:r>
        <w:t>keeping</w:t>
      </w:r>
      <w:r w:rsidR="00E17AEA">
        <w:t xml:space="preserve"> wages growth </w:t>
      </w:r>
      <w:r w:rsidR="004A3FE9">
        <w:t>to no more than</w:t>
      </w:r>
      <w:r w:rsidR="00E17AEA">
        <w:t xml:space="preserve"> 1.5 per cent over the forward estimates to align with the average underlying inflation forecast (Sydney CPI, ex-tobacco excise)</w:t>
      </w:r>
    </w:p>
    <w:p w14:paraId="706CB171" w14:textId="132745B5" w:rsidR="00DC033C" w:rsidRDefault="002A356B" w:rsidP="00887D3C">
      <w:pPr>
        <w:pStyle w:val="Bullet2"/>
      </w:pPr>
      <w:r>
        <w:t>t</w:t>
      </w:r>
      <w:r w:rsidR="00F74DED">
        <w:t>h</w:t>
      </w:r>
      <w:r w:rsidR="00EC38C5">
        <w:t>is</w:t>
      </w:r>
      <w:r w:rsidR="00F74DED">
        <w:t xml:space="preserve"> wages policy </w:t>
      </w:r>
      <w:r w:rsidR="00202410">
        <w:t>will continue to allow</w:t>
      </w:r>
      <w:r w:rsidR="00F74DED">
        <w:t xml:space="preserve"> increases beyond this level </w:t>
      </w:r>
      <w:r w:rsidR="0026066B">
        <w:t>to</w:t>
      </w:r>
      <w:r w:rsidR="00F74DED">
        <w:t xml:space="preserve"> be considered, where employee related cost savings </w:t>
      </w:r>
      <w:r w:rsidR="008F7906">
        <w:t>are</w:t>
      </w:r>
      <w:r w:rsidR="00F74DED">
        <w:t xml:space="preserve"> achieved to fully offset the </w:t>
      </w:r>
      <w:r w:rsidR="009F4FA2">
        <w:t>additional</w:t>
      </w:r>
      <w:r w:rsidR="00F74DED">
        <w:t xml:space="preserve"> costs</w:t>
      </w:r>
    </w:p>
    <w:p w14:paraId="4368DF7A" w14:textId="1C0CEABE" w:rsidR="00E647B8" w:rsidRDefault="0AE5A5BC" w:rsidP="00856E17">
      <w:pPr>
        <w:pStyle w:val="Bullet1"/>
      </w:pPr>
      <w:r>
        <w:t>more efficient procurement practices delivering savings of $7</w:t>
      </w:r>
      <w:r w:rsidR="3ED4EDA9">
        <w:t>29</w:t>
      </w:r>
      <w:r w:rsidR="00BD329D">
        <w:t>.0</w:t>
      </w:r>
      <w:r>
        <w:t xml:space="preserve"> million over the next four years and $3.2 billion over the next decade</w:t>
      </w:r>
      <w:r w:rsidR="7E73D168">
        <w:t>.</w:t>
      </w:r>
    </w:p>
    <w:p w14:paraId="71FA263A" w14:textId="17938594" w:rsidR="003B6812" w:rsidRDefault="0070685C" w:rsidP="00264484">
      <w:pPr>
        <w:pStyle w:val="BodyText"/>
      </w:pPr>
      <w:r>
        <w:t>Looking ahead,</w:t>
      </w:r>
      <w:r w:rsidR="00A638C7">
        <w:t xml:space="preserve"> </w:t>
      </w:r>
      <w:r w:rsidR="00260C61">
        <w:t>there</w:t>
      </w:r>
      <w:r w:rsidR="00A638C7">
        <w:t xml:space="preserve"> is a divergence in the revenue outlook from </w:t>
      </w:r>
      <w:r w:rsidR="00260C61">
        <w:t xml:space="preserve">the </w:t>
      </w:r>
      <w:r w:rsidR="00A638C7">
        <w:t>long-term revenue growth (which was noted in the 2018 review of the FRA).</w:t>
      </w:r>
      <w:r w:rsidR="00574FA5">
        <w:t xml:space="preserve"> </w:t>
      </w:r>
      <w:r w:rsidR="00A638C7">
        <w:t xml:space="preserve">As revenue pressures emerge over the medium term, the Government will need to not only carefully manage expense </w:t>
      </w:r>
      <w:r w:rsidR="00574FA5">
        <w:t>growth but</w:t>
      </w:r>
      <w:r w:rsidR="00A638C7">
        <w:t xml:space="preserve"> maintain a sustainable operating position and debt level.</w:t>
      </w:r>
    </w:p>
    <w:p w14:paraId="4090B4C6" w14:textId="23AA74E6" w:rsidR="002B1C72" w:rsidRDefault="005C042D" w:rsidP="008007A4">
      <w:pPr>
        <w:pStyle w:val="ChartEX"/>
        <w:ind w:left="0" w:firstLine="0"/>
      </w:pPr>
      <w:r w:rsidRPr="001E52B0">
        <w:t>Revenue and Expense Growth</w:t>
      </w:r>
    </w:p>
    <w:p w14:paraId="130D80B5" w14:textId="228ADA29" w:rsidR="005C042D" w:rsidRPr="005E62D9" w:rsidRDefault="00A02D41" w:rsidP="00C50351">
      <w:r>
        <w:rPr>
          <w:noProof/>
        </w:rPr>
        <mc:AlternateContent>
          <mc:Choice Requires="wps">
            <w:drawing>
              <wp:anchor distT="0" distB="0" distL="114300" distR="114300" simplePos="0" relativeHeight="251654144" behindDoc="0" locked="0" layoutInCell="1" allowOverlap="1" wp14:anchorId="1B444D95" wp14:editId="22505232">
                <wp:simplePos x="0" y="0"/>
                <wp:positionH relativeFrom="column">
                  <wp:posOffset>4118610</wp:posOffset>
                </wp:positionH>
                <wp:positionV relativeFrom="paragraph">
                  <wp:posOffset>1875155</wp:posOffset>
                </wp:positionV>
                <wp:extent cx="809625" cy="95250"/>
                <wp:effectExtent l="0" t="0" r="66675" b="95250"/>
                <wp:wrapNone/>
                <wp:docPr id="8" name="Straight Arrow Connector 7">
                  <a:extLst xmlns:a="http://schemas.openxmlformats.org/drawingml/2006/main">
                    <a:ext uri="{FF2B5EF4-FFF2-40B4-BE49-F238E27FC236}">
                      <a16:creationId xmlns:a16="http://schemas.microsoft.com/office/drawing/2014/main" id="{69E4DAAA-7CC3-4775-B6FB-B32BF5CE294D}"/>
                    </a:ext>
                  </a:extLst>
                </wp:docPr>
                <wp:cNvGraphicFramePr/>
                <a:graphic xmlns:a="http://schemas.openxmlformats.org/drawingml/2006/main">
                  <a:graphicData uri="http://schemas.microsoft.com/office/word/2010/wordprocessingShape">
                    <wps:wsp>
                      <wps:cNvCnPr/>
                      <wps:spPr>
                        <a:xfrm>
                          <a:off x="0" y="0"/>
                          <a:ext cx="809625" cy="95250"/>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8B3012" id="_x0000_t32" coordsize="21600,21600" o:spt="32" o:oned="t" path="m,l21600,21600e" filled="f">
                <v:path arrowok="t" fillok="f" o:connecttype="none"/>
                <o:lock v:ext="edit" shapetype="t"/>
              </v:shapetype>
              <v:shape id="Straight Arrow Connector 7" o:spid="_x0000_s1026" type="#_x0000_t32" style="position:absolute;margin-left:324.3pt;margin-top:147.65pt;width:63.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" strokecolor="windowText">
                <v:stroke endarrow="block"/>
              </v:shape>
            </w:pict>
          </mc:Fallback>
        </mc:AlternateContent>
      </w:r>
      <w:r w:rsidR="00584B13">
        <w:rPr>
          <w:noProof/>
        </w:rPr>
        <mc:AlternateContent>
          <mc:Choice Requires="wps">
            <w:drawing>
              <wp:anchor distT="0" distB="0" distL="114300" distR="114300" simplePos="0" relativeHeight="251663360" behindDoc="0" locked="0" layoutInCell="1" allowOverlap="1" wp14:anchorId="33E8BAA0" wp14:editId="43E02E7C">
                <wp:simplePos x="0" y="0"/>
                <wp:positionH relativeFrom="column">
                  <wp:posOffset>1775460</wp:posOffset>
                </wp:positionH>
                <wp:positionV relativeFrom="paragraph">
                  <wp:posOffset>1681481</wp:posOffset>
                </wp:positionV>
                <wp:extent cx="2390775" cy="533400"/>
                <wp:effectExtent l="0" t="0" r="0" b="0"/>
                <wp:wrapNone/>
                <wp:docPr id="14" name="TextBox 1"/>
                <wp:cNvGraphicFramePr/>
                <a:graphic xmlns:a="http://schemas.openxmlformats.org/drawingml/2006/main">
                  <a:graphicData uri="http://schemas.microsoft.com/office/word/2010/wordprocessingShape">
                    <wps:wsp>
                      <wps:cNvSpPr txBox="1"/>
                      <wps:spPr>
                        <a:xfrm>
                          <a:off x="0" y="0"/>
                          <a:ext cx="2390775" cy="533400"/>
                        </a:xfrm>
                        <a:prstGeom prst="rect">
                          <a:avLst/>
                        </a:prstGeom>
                      </wps:spPr>
                      <wps:txbx>
                        <w:txbxContent>
                          <w:p w14:paraId="790C85C1" w14:textId="3653C931" w:rsidR="00584B13" w:rsidRPr="00C34A0B" w:rsidRDefault="00584B13" w:rsidP="00584B13">
                            <w:pPr>
                              <w:rPr>
                                <w:rFonts w:ascii="Arial" w:hAnsi="Arial" w:cs="Arial"/>
                                <w:sz w:val="15"/>
                                <w:szCs w:val="15"/>
                              </w:rPr>
                            </w:pPr>
                            <w:r w:rsidRPr="00C34A0B">
                              <w:rPr>
                                <w:rFonts w:ascii="Arial" w:hAnsi="Arial" w:cs="Arial"/>
                                <w:sz w:val="15"/>
                                <w:szCs w:val="15"/>
                                <w:lang w:val="en-AU"/>
                              </w:rPr>
                              <w:t>Negative expense growth in 2021-22 and 2022-23 reflecting the phasing-out of stimulus measures and tight expense control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E8BAA0" id="_x0000_t202" coordsize="21600,21600" o:spt="202" path="m,l,21600r21600,l21600,xe">
                <v:stroke joinstyle="miter"/>
                <v:path gradientshapeok="t" o:connecttype="rect"/>
              </v:shapetype>
              <v:shape id="TextBox 1" o:spid="_x0000_s1026" type="#_x0000_t202" style="position:absolute;margin-left:139.8pt;margin-top:132.4pt;width:188.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" filled="f" stroked="f">
                <v:textbox>
                  <w:txbxContent>
                    <w:p w14:paraId="790C85C1" w14:textId="3653C931" w:rsidR="00584B13" w:rsidRPr="00C34A0B" w:rsidRDefault="00584B13" w:rsidP="00584B13">
                      <w:pPr>
                        <w:rPr>
                          <w:rFonts w:ascii="Arial" w:hAnsi="Arial" w:cs="Arial"/>
                          <w:sz w:val="15"/>
                          <w:szCs w:val="15"/>
                        </w:rPr>
                      </w:pPr>
                      <w:r w:rsidRPr="00C34A0B">
                        <w:rPr>
                          <w:rFonts w:ascii="Arial" w:hAnsi="Arial" w:cs="Arial"/>
                          <w:sz w:val="15"/>
                          <w:szCs w:val="15"/>
                          <w:lang w:val="en-AU"/>
                        </w:rPr>
                        <w:t>Negative expense growth in 2021-22 and 2022-23 reflecting the phasing-out of stimulus measures and tight expense control</w:t>
                      </w:r>
                    </w:p>
                  </w:txbxContent>
                </v:textbox>
              </v:shape>
            </w:pict>
          </mc:Fallback>
        </mc:AlternateContent>
      </w:r>
      <w:r w:rsidR="00583A94" w:rsidRPr="00C50351">
        <w:rPr>
          <w:rFonts w:ascii="Arial" w:hAnsi="Arial" w:cs="Arial"/>
          <w:noProof/>
        </w:rPr>
        <w:drawing>
          <wp:inline distT="0" distB="0" distL="0" distR="0" wp14:anchorId="02ED032E" wp14:editId="385EC7DE">
            <wp:extent cx="6120130" cy="2867025"/>
            <wp:effectExtent l="0" t="0" r="0" b="0"/>
            <wp:docPr id="10" name="Chart 10" descr="Chart E.1: Revenue and Expense Growth">
              <a:extLst xmlns:a="http://schemas.openxmlformats.org/drawingml/2006/main">
                <a:ext uri="{FF2B5EF4-FFF2-40B4-BE49-F238E27FC236}">
                  <a16:creationId xmlns:a16="http://schemas.microsoft.com/office/drawing/2014/main" id="{8A90C930-C5B0-485B-B991-69EFD9F82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666E4" w:rsidRPr="00A666E4">
        <w:rPr>
          <w:rFonts w:asciiTheme="minorHAnsi" w:hAnsi="Calibri" w:cstheme="minorBidi"/>
          <w:sz w:val="15"/>
          <w:szCs w:val="15"/>
        </w:rPr>
        <w:t xml:space="preserve"> </w:t>
      </w:r>
    </w:p>
    <w:p w14:paraId="3B2A16CF" w14:textId="77777777" w:rsidR="001E545C" w:rsidRDefault="001E545C">
      <w:pPr>
        <w:spacing w:after="200" w:line="276" w:lineRule="auto"/>
        <w:rPr>
          <w:rFonts w:ascii="Arial Bold" w:eastAsia="Arial Unicode MS" w:hAnsi="Arial Bold"/>
          <w:b/>
          <w:kern w:val="28"/>
          <w:sz w:val="25"/>
          <w:szCs w:val="36"/>
          <w:lang w:val="en-AU"/>
        </w:rPr>
      </w:pPr>
      <w:r>
        <w:br w:type="page"/>
      </w:r>
    </w:p>
    <w:p w14:paraId="6FCE82ED" w14:textId="05C6EACB" w:rsidR="002B1C72" w:rsidRPr="00EC2CCB" w:rsidRDefault="002B1C72" w:rsidP="00A5618F">
      <w:pPr>
        <w:pStyle w:val="Heading4"/>
      </w:pPr>
      <w:r w:rsidRPr="00EC2CCB">
        <w:t xml:space="preserve">Target </w:t>
      </w:r>
      <w:r w:rsidR="00201208">
        <w:t>2</w:t>
      </w:r>
      <w:r w:rsidRPr="00EC2CCB">
        <w:t xml:space="preserve"> – </w:t>
      </w:r>
      <w:r w:rsidR="00946EFA">
        <w:t xml:space="preserve">Eliminating </w:t>
      </w:r>
      <w:r w:rsidR="00BA49A3">
        <w:t xml:space="preserve">the State’s </w:t>
      </w:r>
      <w:r w:rsidR="00ED5CBE">
        <w:t>unfunded</w:t>
      </w:r>
      <w:r w:rsidR="00ED5CBE" w:rsidRPr="00EC2CCB">
        <w:t xml:space="preserve"> </w:t>
      </w:r>
      <w:r w:rsidRPr="00EC2CCB">
        <w:t>super</w:t>
      </w:r>
      <w:r w:rsidR="00BA49A3">
        <w:t>annuation</w:t>
      </w:r>
      <w:r w:rsidRPr="00EC2CCB">
        <w:t xml:space="preserve"> liabilit</w:t>
      </w:r>
      <w:r w:rsidR="00ED5CBE">
        <w:t>y</w:t>
      </w:r>
      <w:r w:rsidRPr="00EC2CCB">
        <w:t xml:space="preserve"> by </w:t>
      </w:r>
      <w:r w:rsidR="000B01E9" w:rsidRPr="00EC2CCB">
        <w:t>20</w:t>
      </w:r>
      <w:r w:rsidR="00540C08">
        <w:t>30</w:t>
      </w:r>
    </w:p>
    <w:p w14:paraId="2CD8DC93" w14:textId="063EB045" w:rsidR="00A22371" w:rsidRDefault="00E174AF">
      <w:pPr>
        <w:pStyle w:val="BodyText"/>
      </w:pPr>
      <w:r>
        <w:t xml:space="preserve">The </w:t>
      </w:r>
      <w:r w:rsidR="00A22371">
        <w:t xml:space="preserve">FRA </w:t>
      </w:r>
      <w:r w:rsidR="004214B0">
        <w:t>currently</w:t>
      </w:r>
      <w:r w:rsidR="00A22371">
        <w:t xml:space="preserve"> requires the </w:t>
      </w:r>
      <w:r w:rsidR="00C87A12">
        <w:t>Government</w:t>
      </w:r>
      <w:r>
        <w:t xml:space="preserve"> to </w:t>
      </w:r>
      <w:r w:rsidR="00ED5CBE">
        <w:t>eliminate</w:t>
      </w:r>
      <w:r w:rsidR="002B1C72" w:rsidRPr="000F54DA">
        <w:t xml:space="preserve"> the State’s</w:t>
      </w:r>
      <w:r w:rsidR="00A22371">
        <w:t xml:space="preserve"> </w:t>
      </w:r>
      <w:r w:rsidR="00ED5CBE">
        <w:t xml:space="preserve">unfunded </w:t>
      </w:r>
      <w:r w:rsidR="002B1C72" w:rsidRPr="000F54DA">
        <w:t>superannuation liabilit</w:t>
      </w:r>
      <w:r w:rsidR="00ED5CBE">
        <w:t>y</w:t>
      </w:r>
      <w:r w:rsidR="002B1C72" w:rsidRPr="000F54DA">
        <w:t xml:space="preserve"> by</w:t>
      </w:r>
      <w:r w:rsidR="00287533">
        <w:t xml:space="preserve"> </w:t>
      </w:r>
      <w:r w:rsidR="00540C08">
        <w:t>2030</w:t>
      </w:r>
      <w:r w:rsidR="002B1C72" w:rsidRPr="000F54DA">
        <w:t xml:space="preserve">. </w:t>
      </w:r>
    </w:p>
    <w:p w14:paraId="548F5BF4" w14:textId="7A79890B" w:rsidR="00540C08" w:rsidRDefault="00282518" w:rsidP="00283B68">
      <w:pPr>
        <w:pStyle w:val="BodyText"/>
      </w:pPr>
      <w:r>
        <w:t>To achieve this</w:t>
      </w:r>
      <w:r w:rsidR="008B2DE7">
        <w:t xml:space="preserve"> target</w:t>
      </w:r>
      <w:r>
        <w:t xml:space="preserve">, the </w:t>
      </w:r>
      <w:r w:rsidR="00A22371">
        <w:t xml:space="preserve">Government makes </w:t>
      </w:r>
      <w:r w:rsidR="005D7BF7">
        <w:t>annual</w:t>
      </w:r>
      <w:r w:rsidR="00412FE8">
        <w:t xml:space="preserve"> cash</w:t>
      </w:r>
      <w:r w:rsidR="005D7BF7">
        <w:t xml:space="preserve"> </w:t>
      </w:r>
      <w:r w:rsidR="00A22371">
        <w:t>contributions</w:t>
      </w:r>
      <w:r w:rsidR="006E75C4">
        <w:t xml:space="preserve"> to the </w:t>
      </w:r>
      <w:r w:rsidR="00DB13D0">
        <w:t xml:space="preserve">State’s defined benefit superannuation schemes in line with </w:t>
      </w:r>
      <w:r w:rsidR="00957900">
        <w:t>a</w:t>
      </w:r>
      <w:r w:rsidR="00A22371">
        <w:t xml:space="preserve"> </w:t>
      </w:r>
      <w:r w:rsidR="00503A85">
        <w:t>funding</w:t>
      </w:r>
      <w:r>
        <w:t xml:space="preserve"> plan</w:t>
      </w:r>
      <w:r w:rsidR="00957900">
        <w:t xml:space="preserve"> set at each triennial review </w:t>
      </w:r>
      <w:r w:rsidR="008017A9">
        <w:t>of the schemes.</w:t>
      </w:r>
      <w:r>
        <w:t xml:space="preserve"> </w:t>
      </w:r>
      <w:r w:rsidR="008017A9">
        <w:t xml:space="preserve">This funding plan </w:t>
      </w:r>
      <w:proofErr w:type="gramStart"/>
      <w:r w:rsidR="008017A9">
        <w:t>takes into account</w:t>
      </w:r>
      <w:proofErr w:type="gramEnd"/>
      <w:r w:rsidR="008017A9">
        <w:t xml:space="preserve"> any</w:t>
      </w:r>
      <w:r w:rsidR="00283B68">
        <w:t xml:space="preserve"> changes in </w:t>
      </w:r>
      <w:r w:rsidR="00412FE8">
        <w:t xml:space="preserve">both </w:t>
      </w:r>
      <w:r w:rsidR="00283B68">
        <w:t xml:space="preserve">the asset (e.g. market returns) </w:t>
      </w:r>
      <w:r w:rsidR="00412FE8">
        <w:t>and</w:t>
      </w:r>
      <w:r w:rsidR="00283B68">
        <w:t xml:space="preserve"> the liability (e.g. demographic </w:t>
      </w:r>
      <w:r w:rsidR="00E96A40">
        <w:t>and</w:t>
      </w:r>
      <w:r w:rsidR="00283B68">
        <w:t xml:space="preserve"> actuarial assumption</w:t>
      </w:r>
      <w:r w:rsidR="00E857E1">
        <w:t>s</w:t>
      </w:r>
      <w:r w:rsidR="00283B68">
        <w:t xml:space="preserve">) components of the schemes. </w:t>
      </w:r>
    </w:p>
    <w:p w14:paraId="3968E8AF" w14:textId="37EDF102" w:rsidR="00283B68" w:rsidRPr="000F54DA" w:rsidRDefault="00283B68" w:rsidP="00283B68">
      <w:pPr>
        <w:pStyle w:val="BodyText"/>
      </w:pPr>
      <w:r>
        <w:t xml:space="preserve">Following the </w:t>
      </w:r>
      <w:r w:rsidR="004D0000">
        <w:t xml:space="preserve">unprecedented </w:t>
      </w:r>
      <w:r w:rsidR="00540C08">
        <w:t xml:space="preserve">economic and fiscal </w:t>
      </w:r>
      <w:r w:rsidR="004D0000">
        <w:t>events of 2019-20,</w:t>
      </w:r>
      <w:r>
        <w:t xml:space="preserve"> New South Wales </w:t>
      </w:r>
      <w:r w:rsidR="00486EE7">
        <w:t xml:space="preserve">has re-anchored its superannuation liability target to be fully funded by 2040. </w:t>
      </w:r>
      <w:r w:rsidR="008D12CE">
        <w:t xml:space="preserve">Re-anchoring the target will help free up much needed fiscal capacity over the </w:t>
      </w:r>
      <w:r w:rsidR="00C3137A">
        <w:t>budget and forward estimates, which will support the Government</w:t>
      </w:r>
      <w:r w:rsidR="009B01E6">
        <w:t>’s</w:t>
      </w:r>
      <w:r w:rsidR="00C3137A">
        <w:t xml:space="preserve"> fiscal response to COVID-19. </w:t>
      </w:r>
      <w:r w:rsidR="00C3137A" w:rsidRPr="00C3137A">
        <w:t xml:space="preserve">With some significant </w:t>
      </w:r>
      <w:r w:rsidR="00354B51">
        <w:t xml:space="preserve">COVID-19 driven </w:t>
      </w:r>
      <w:r w:rsidR="00C3137A" w:rsidRPr="00C3137A">
        <w:t xml:space="preserve">uncertainty remaining in the economic and fiscal outlook, the Government will aim to update the </w:t>
      </w:r>
      <w:r w:rsidR="002A438F">
        <w:t>FRA</w:t>
      </w:r>
      <w:r w:rsidR="002A438F" w:rsidRPr="00C3137A">
        <w:t xml:space="preserve"> </w:t>
      </w:r>
      <w:r w:rsidR="00C3137A" w:rsidRPr="00C3137A">
        <w:t>as a clearer picture of the broader outlook emerges.</w:t>
      </w:r>
    </w:p>
    <w:p w14:paraId="67AE7859" w14:textId="7C8E8FD4" w:rsidR="002B1C72" w:rsidRPr="000F54DA" w:rsidRDefault="002B1C72">
      <w:pPr>
        <w:pStyle w:val="BodyText"/>
      </w:pPr>
      <w:r w:rsidRPr="006F5D99">
        <w:t xml:space="preserve">Total </w:t>
      </w:r>
      <w:r w:rsidR="0B99D8C2">
        <w:t>S</w:t>
      </w:r>
      <w:r w:rsidR="5A15D366">
        <w:t xml:space="preserve">tate </w:t>
      </w:r>
      <w:r w:rsidR="716AECED">
        <w:t>net</w:t>
      </w:r>
      <w:r w:rsidRPr="006F5D99">
        <w:t xml:space="preserve"> unfunded super</w:t>
      </w:r>
      <w:r w:rsidR="00D41AF2">
        <w:t>annuation</w:t>
      </w:r>
      <w:r w:rsidRPr="006F5D99">
        <w:t xml:space="preserve"> liabilit</w:t>
      </w:r>
      <w:r w:rsidR="00E55158">
        <w:t>y</w:t>
      </w:r>
      <w:r w:rsidRPr="006F5D99" w:rsidDel="00CF0CFC">
        <w:t xml:space="preserve"> </w:t>
      </w:r>
      <w:r w:rsidR="00F64FAB">
        <w:t>are</w:t>
      </w:r>
      <w:r w:rsidRPr="006F5D99">
        <w:t xml:space="preserve"> estimated </w:t>
      </w:r>
      <w:r w:rsidR="009868B9">
        <w:t xml:space="preserve">to </w:t>
      </w:r>
      <w:r w:rsidR="009868B9" w:rsidRPr="004726D7">
        <w:t xml:space="preserve">be </w:t>
      </w:r>
      <w:r w:rsidRPr="00883E75">
        <w:t>$</w:t>
      </w:r>
      <w:r w:rsidR="008C7A9E" w:rsidRPr="00C50351">
        <w:t>14.6</w:t>
      </w:r>
      <w:r w:rsidR="006C7DCC" w:rsidRPr="004726D7">
        <w:t xml:space="preserve"> </w:t>
      </w:r>
      <w:r w:rsidRPr="004726D7">
        <w:t>billion</w:t>
      </w:r>
      <w:r w:rsidR="00FF592C">
        <w:t xml:space="preserve"> at June</w:t>
      </w:r>
      <w:r w:rsidR="00A02D41">
        <w:t> </w:t>
      </w:r>
      <w:r w:rsidR="00FF592C">
        <w:t>202</w:t>
      </w:r>
      <w:r w:rsidR="00F64FAB">
        <w:t>1</w:t>
      </w:r>
      <w:r w:rsidRPr="004726D7">
        <w:t xml:space="preserve"> </w:t>
      </w:r>
      <w:r w:rsidR="00E4003B" w:rsidRPr="004726D7">
        <w:t xml:space="preserve">and </w:t>
      </w:r>
      <w:r w:rsidR="00414E68" w:rsidRPr="004726D7">
        <w:t xml:space="preserve">are </w:t>
      </w:r>
      <w:r w:rsidR="00E4003B" w:rsidRPr="004726D7">
        <w:t>pr</w:t>
      </w:r>
      <w:r w:rsidRPr="004726D7">
        <w:t xml:space="preserve">ojected to </w:t>
      </w:r>
      <w:r w:rsidR="00FC46E0">
        <w:t>inc</w:t>
      </w:r>
      <w:r w:rsidR="00253B2B">
        <w:t xml:space="preserve">rease </w:t>
      </w:r>
      <w:r w:rsidRPr="004726D7">
        <w:t>to $</w:t>
      </w:r>
      <w:r w:rsidR="00DD31CB">
        <w:t>15.6</w:t>
      </w:r>
      <w:r w:rsidR="006C1DAE" w:rsidRPr="004726D7">
        <w:t xml:space="preserve"> </w:t>
      </w:r>
      <w:r w:rsidRPr="004726D7">
        <w:t>billion at June</w:t>
      </w:r>
      <w:r w:rsidR="00B26D92" w:rsidRPr="004726D7">
        <w:t> </w:t>
      </w:r>
      <w:r w:rsidR="000D5DAB" w:rsidRPr="004726D7">
        <w:t>202</w:t>
      </w:r>
      <w:r w:rsidR="000D5DAB">
        <w:t>4</w:t>
      </w:r>
      <w:r w:rsidR="0061765F" w:rsidRPr="004726D7">
        <w:t>, reaching</w:t>
      </w:r>
      <w:r w:rsidRPr="004726D7">
        <w:t xml:space="preserve"> zero </w:t>
      </w:r>
      <w:r w:rsidR="2EE602A2">
        <w:t>by</w:t>
      </w:r>
      <w:r w:rsidRPr="004726D7">
        <w:t xml:space="preserve"> June</w:t>
      </w:r>
      <w:r w:rsidR="00A02D41">
        <w:t> </w:t>
      </w:r>
      <w:r w:rsidR="000D5DAB" w:rsidRPr="004726D7">
        <w:t>20</w:t>
      </w:r>
      <w:r w:rsidR="000D5DAB">
        <w:t>4</w:t>
      </w:r>
      <w:r w:rsidR="000D5DAB" w:rsidRPr="004726D7">
        <w:t xml:space="preserve">0 </w:t>
      </w:r>
      <w:r w:rsidRPr="004726D7">
        <w:t xml:space="preserve">(see </w:t>
      </w:r>
      <w:r w:rsidR="00B74044">
        <w:t>Box</w:t>
      </w:r>
      <w:r w:rsidR="00253B2B">
        <w:t xml:space="preserve"> 6.4</w:t>
      </w:r>
      <w:r w:rsidRPr="004726D7">
        <w:t xml:space="preserve"> </w:t>
      </w:r>
      <w:r w:rsidR="008B2DE7" w:rsidRPr="004726D7">
        <w:t>for further</w:t>
      </w:r>
      <w:r w:rsidRPr="004726D7">
        <w:t xml:space="preserve"> analysis).</w:t>
      </w:r>
    </w:p>
    <w:p w14:paraId="2C4A7889" w14:textId="7993301E" w:rsidR="00520616" w:rsidRPr="002B1C72" w:rsidRDefault="00520616" w:rsidP="00A5618F">
      <w:pPr>
        <w:pStyle w:val="Heading4"/>
      </w:pPr>
      <w:r w:rsidRPr="002B1C72">
        <w:t xml:space="preserve">Principle 1 </w:t>
      </w:r>
      <w:r w:rsidR="00776172" w:rsidRPr="002B1C72">
        <w:t xml:space="preserve">– </w:t>
      </w:r>
      <w:r w:rsidRPr="002B1C72">
        <w:t>Responsible and sustainable spending, taxation and infrastructure investment</w:t>
      </w:r>
    </w:p>
    <w:p w14:paraId="6AD58E39" w14:textId="26F9B578" w:rsidR="00D900C8" w:rsidRPr="000D5E69" w:rsidRDefault="00FE1002" w:rsidP="00EC1F01">
      <w:pPr>
        <w:pStyle w:val="BodyText"/>
      </w:pPr>
      <w:r>
        <w:t>T</w:t>
      </w:r>
      <w:r w:rsidR="008F15E1">
        <w:t xml:space="preserve">he </w:t>
      </w:r>
      <w:r w:rsidR="00E85FFD" w:rsidRPr="000D5E69">
        <w:t>principle</w:t>
      </w:r>
      <w:r w:rsidR="000D5E69" w:rsidRPr="000D5E69">
        <w:t xml:space="preserve"> </w:t>
      </w:r>
      <w:r>
        <w:t>of</w:t>
      </w:r>
      <w:r w:rsidR="00D14A61">
        <w:t xml:space="preserve"> </w:t>
      </w:r>
      <w:r w:rsidR="00D14A61" w:rsidRPr="009A7D7E">
        <w:t>responsible and sustainable spending, taxation and infrastructure investment</w:t>
      </w:r>
      <w:r>
        <w:t xml:space="preserve"> </w:t>
      </w:r>
      <w:r w:rsidR="000D5E69" w:rsidRPr="000D5E69">
        <w:t>includes aligning general government revenue and expense growth, stable and predictable taxation policies, and</w:t>
      </w:r>
      <w:r w:rsidR="000D5E69">
        <w:t xml:space="preserve"> </w:t>
      </w:r>
      <w:r w:rsidR="000D5E69" w:rsidRPr="000D5E69">
        <w:t>investment in infrastructure that has the highest benefit for the community.</w:t>
      </w:r>
      <w:r w:rsidR="00E85FFD" w:rsidRPr="000D5E69">
        <w:t xml:space="preserve"> </w:t>
      </w:r>
      <w:r w:rsidR="00B510A8">
        <w:t xml:space="preserve">This </w:t>
      </w:r>
      <w:r w:rsidR="003B097A">
        <w:t xml:space="preserve">involves </w:t>
      </w:r>
      <w:r w:rsidR="00A04F33">
        <w:t xml:space="preserve">maintaining </w:t>
      </w:r>
      <w:r w:rsidR="00A04F33" w:rsidRPr="000D5E69">
        <w:t>a</w:t>
      </w:r>
      <w:r w:rsidR="00D900C8" w:rsidRPr="000D5E69">
        <w:t xml:space="preserve"> strong and sustainable fiscal position</w:t>
      </w:r>
      <w:r w:rsidR="00085EF0" w:rsidRPr="000D5E69">
        <w:t xml:space="preserve">, </w:t>
      </w:r>
      <w:r w:rsidR="005F1CAF">
        <w:t xml:space="preserve">by way of managing </w:t>
      </w:r>
      <w:r w:rsidR="00085EF0" w:rsidRPr="000D5E69">
        <w:t>an operating position appropriate for current conditions, and debt that can be sustainably managed</w:t>
      </w:r>
      <w:r w:rsidR="05DF76CE">
        <w:t>,</w:t>
      </w:r>
      <w:r w:rsidR="00085EF0" w:rsidRPr="000D5E69">
        <w:t xml:space="preserve"> while </w:t>
      </w:r>
      <w:r w:rsidR="51122F24">
        <w:t xml:space="preserve">also </w:t>
      </w:r>
      <w:r w:rsidR="00085EF0" w:rsidRPr="000D5E69">
        <w:t>providing recurrent services and infrastructure investment.</w:t>
      </w:r>
    </w:p>
    <w:p w14:paraId="3FFEFA5C" w14:textId="163619CD" w:rsidR="00520616" w:rsidRDefault="009F5EE7" w:rsidP="00D216D4">
      <w:pPr>
        <w:pStyle w:val="BodyText"/>
      </w:pPr>
      <w:r>
        <w:t xml:space="preserve">The FRA target </w:t>
      </w:r>
      <w:r w:rsidR="00EE3A1E">
        <w:t xml:space="preserve">to </w:t>
      </w:r>
      <w:r>
        <w:t>k</w:t>
      </w:r>
      <w:r w:rsidR="00210558">
        <w:t>eep</w:t>
      </w:r>
      <w:r w:rsidR="00EE3A1E">
        <w:t xml:space="preserve"> </w:t>
      </w:r>
      <w:r w:rsidR="00973709">
        <w:t xml:space="preserve">general government </w:t>
      </w:r>
      <w:r w:rsidR="006768F4">
        <w:t>ex</w:t>
      </w:r>
      <w:r w:rsidR="00776172">
        <w:t>pense growth below</w:t>
      </w:r>
      <w:r w:rsidR="006768F4">
        <w:t xml:space="preserve"> </w:t>
      </w:r>
      <w:r w:rsidR="00D900C8">
        <w:t xml:space="preserve">the </w:t>
      </w:r>
      <w:r w:rsidR="006768F4">
        <w:t xml:space="preserve">long-term revenue growth </w:t>
      </w:r>
      <w:r w:rsidR="00D900C8">
        <w:t>rate of</w:t>
      </w:r>
      <w:r w:rsidR="006768F4">
        <w:t xml:space="preserve"> </w:t>
      </w:r>
      <w:r w:rsidR="006768F4" w:rsidRPr="00156A7D">
        <w:t>5.</w:t>
      </w:r>
      <w:r w:rsidR="005B1EED" w:rsidRPr="00156A7D">
        <w:t>6</w:t>
      </w:r>
      <w:r w:rsidR="009E70A3">
        <w:t> </w:t>
      </w:r>
      <w:r w:rsidR="006768F4">
        <w:t>per</w:t>
      </w:r>
      <w:r w:rsidR="000F54DA">
        <w:t> </w:t>
      </w:r>
      <w:r w:rsidR="006768F4">
        <w:t>cent</w:t>
      </w:r>
      <w:r w:rsidR="00BA6654">
        <w:t xml:space="preserve"> </w:t>
      </w:r>
      <w:r w:rsidR="00A04F33">
        <w:t>demonstrates the</w:t>
      </w:r>
      <w:r w:rsidR="0095771D">
        <w:t xml:space="preserve"> commitment to responsible and sustainable spendin</w:t>
      </w:r>
      <w:r w:rsidR="00F4454F">
        <w:t>g.</w:t>
      </w:r>
      <w:r w:rsidR="00041492">
        <w:t xml:space="preserve"> </w:t>
      </w:r>
    </w:p>
    <w:p w14:paraId="1DB341EF" w14:textId="5EFBD738" w:rsidR="00966C5E" w:rsidRPr="001E52B0" w:rsidRDefault="002B1C72" w:rsidP="00C50351">
      <w:pPr>
        <w:pStyle w:val="BodyText"/>
      </w:pPr>
      <w:r w:rsidRPr="00B40DB3">
        <w:t>S</w:t>
      </w:r>
      <w:r w:rsidR="009637E0" w:rsidRPr="00B40DB3">
        <w:t xml:space="preserve">tate taxation has </w:t>
      </w:r>
      <w:r w:rsidR="009B1D23" w:rsidRPr="00B40DB3">
        <w:t>remained</w:t>
      </w:r>
      <w:r w:rsidR="009637E0" w:rsidRPr="00B40DB3">
        <w:t xml:space="preserve"> </w:t>
      </w:r>
      <w:r w:rsidR="004142E7" w:rsidRPr="00B40DB3">
        <w:t>consistent</w:t>
      </w:r>
      <w:r w:rsidR="009637E0" w:rsidRPr="00B40DB3">
        <w:t xml:space="preserve"> and low, with the ratio of tax receipts to </w:t>
      </w:r>
      <w:r w:rsidR="00AB0750">
        <w:t>G</w:t>
      </w:r>
      <w:r w:rsidR="00D117B0">
        <w:t xml:space="preserve">ross </w:t>
      </w:r>
      <w:r w:rsidR="00AB0750">
        <w:t>S</w:t>
      </w:r>
      <w:r w:rsidR="00D117B0">
        <w:t xml:space="preserve">tate </w:t>
      </w:r>
      <w:r w:rsidR="000E4B70">
        <w:t>Product</w:t>
      </w:r>
      <w:r w:rsidR="00B33934" w:rsidRPr="00B40DB3">
        <w:t xml:space="preserve"> (</w:t>
      </w:r>
      <w:r w:rsidR="009637E0" w:rsidRPr="00B40DB3">
        <w:t>GSP</w:t>
      </w:r>
      <w:r w:rsidR="00B33934" w:rsidRPr="00B40DB3">
        <w:t>)</w:t>
      </w:r>
      <w:r w:rsidR="009637E0" w:rsidRPr="00B40DB3">
        <w:t xml:space="preserve"> declining from 5.4</w:t>
      </w:r>
      <w:r w:rsidR="000F54DA" w:rsidRPr="00B40DB3">
        <w:t> </w:t>
      </w:r>
      <w:r w:rsidR="009637E0" w:rsidRPr="00B40DB3">
        <w:t>per</w:t>
      </w:r>
      <w:r w:rsidR="000F54DA" w:rsidRPr="00B40DB3">
        <w:t> </w:t>
      </w:r>
      <w:r w:rsidR="009637E0" w:rsidRPr="007D0CB0">
        <w:t xml:space="preserve">cent in </w:t>
      </w:r>
      <w:r w:rsidR="00D900C8" w:rsidRPr="007D0CB0">
        <w:t xml:space="preserve">2015-16 </w:t>
      </w:r>
      <w:r w:rsidR="009D22E9" w:rsidRPr="007D0CB0">
        <w:t>to</w:t>
      </w:r>
      <w:r w:rsidR="00D900C8" w:rsidRPr="007D0CB0">
        <w:t xml:space="preserve"> a projected</w:t>
      </w:r>
      <w:r w:rsidR="009D22E9" w:rsidRPr="007D0CB0">
        <w:t xml:space="preserve"> </w:t>
      </w:r>
      <w:r w:rsidR="001D0981">
        <w:t>5.</w:t>
      </w:r>
      <w:r w:rsidR="5AA81CAA">
        <w:t>0</w:t>
      </w:r>
      <w:r w:rsidR="00D900C8" w:rsidRPr="00B40DB3">
        <w:t xml:space="preserve"> per cent in </w:t>
      </w:r>
      <w:r w:rsidR="00DB0228" w:rsidRPr="00B40DB3">
        <w:t>20</w:t>
      </w:r>
      <w:r w:rsidR="00DB0228">
        <w:t>20-21</w:t>
      </w:r>
      <w:r w:rsidR="00D900C8" w:rsidRPr="00B40DB3">
        <w:t xml:space="preserve">, </w:t>
      </w:r>
      <w:r w:rsidR="006017AE" w:rsidRPr="00B40DB3">
        <w:t xml:space="preserve">and </w:t>
      </w:r>
      <w:r w:rsidR="1160B4F8">
        <w:t xml:space="preserve">marginally increasing </w:t>
      </w:r>
      <w:r w:rsidR="610EB30E">
        <w:t>over</w:t>
      </w:r>
      <w:r w:rsidR="00D900C8" w:rsidRPr="00B40DB3">
        <w:t xml:space="preserve"> the forward </w:t>
      </w:r>
      <w:r w:rsidR="008B2DE7" w:rsidRPr="00B40DB3">
        <w:t>estimates</w:t>
      </w:r>
      <w:r w:rsidR="002224E5" w:rsidRPr="00B40DB3">
        <w:t xml:space="preserve"> </w:t>
      </w:r>
      <w:r w:rsidR="5B477675">
        <w:t xml:space="preserve">to </w:t>
      </w:r>
      <w:r w:rsidR="3C5C91F4">
        <w:t>5.2 per cent in 2023-24</w:t>
      </w:r>
      <w:r w:rsidR="002224E5">
        <w:t xml:space="preserve"> </w:t>
      </w:r>
      <w:r w:rsidR="002224E5" w:rsidRPr="00B40DB3">
        <w:t xml:space="preserve">(as shown in Chart </w:t>
      </w:r>
      <w:r w:rsidR="00A2769D" w:rsidRPr="00B40DB3">
        <w:t>E</w:t>
      </w:r>
      <w:r w:rsidR="00D6540E" w:rsidRPr="00B40DB3">
        <w:t>.</w:t>
      </w:r>
      <w:r w:rsidR="008A04D7">
        <w:t>2</w:t>
      </w:r>
      <w:r w:rsidR="002224E5" w:rsidRPr="00B40DB3">
        <w:t>)</w:t>
      </w:r>
      <w:r w:rsidR="00D900C8" w:rsidRPr="00B40DB3">
        <w:t>.</w:t>
      </w:r>
      <w:r w:rsidR="00103F53">
        <w:t xml:space="preserve"> </w:t>
      </w:r>
      <w:r w:rsidR="00966C5E" w:rsidRPr="001E52B0">
        <w:t>Tax revenue to GSP</w:t>
      </w:r>
      <w:r w:rsidR="00C61F61">
        <w:t xml:space="preserve"> declined to </w:t>
      </w:r>
      <w:r w:rsidR="00966C5E" w:rsidRPr="001E52B0">
        <w:t xml:space="preserve">4.8 per cent in 2019-20 </w:t>
      </w:r>
      <w:r w:rsidR="00066718">
        <w:t xml:space="preserve">due to </w:t>
      </w:r>
      <w:r w:rsidR="00966C5E" w:rsidRPr="001E52B0">
        <w:t xml:space="preserve">lower payroll tax and transfer duty revenue. </w:t>
      </w:r>
    </w:p>
    <w:p w14:paraId="3CD11D25" w14:textId="77777777" w:rsidR="0057401A" w:rsidRDefault="0057401A">
      <w:pPr>
        <w:spacing w:after="200" w:line="276" w:lineRule="auto"/>
        <w:rPr>
          <w:rFonts w:ascii="Arial" w:hAnsi="Arial"/>
          <w:i/>
          <w:color w:val="57514D"/>
          <w:sz w:val="22"/>
        </w:rPr>
      </w:pPr>
      <w:r>
        <w:br w:type="page"/>
      </w:r>
    </w:p>
    <w:p w14:paraId="75B91DAC" w14:textId="5C261A70" w:rsidR="00373026" w:rsidRPr="001E52B0" w:rsidRDefault="00373026" w:rsidP="001E056C">
      <w:pPr>
        <w:pStyle w:val="ChartEX"/>
        <w:rPr>
          <w:i w:val="0"/>
        </w:rPr>
      </w:pPr>
      <w:r w:rsidRPr="001E52B0">
        <w:t xml:space="preserve">Taxation revenue, ratio to </w:t>
      </w:r>
      <w:r w:rsidR="000F54DA" w:rsidRPr="001E52B0">
        <w:t>GSP</w:t>
      </w:r>
    </w:p>
    <w:p w14:paraId="636689E5" w14:textId="2388A419" w:rsidR="00373026" w:rsidRDefault="00584B13" w:rsidP="003321D8">
      <w:r w:rsidRPr="00C50351">
        <w:rPr>
          <w:rFonts w:ascii="Arial" w:hAnsi="Arial" w:cs="Arial"/>
          <w:noProof/>
        </w:rPr>
        <w:drawing>
          <wp:inline distT="0" distB="0" distL="0" distR="0" wp14:anchorId="22C402BC" wp14:editId="2CFAD4F6">
            <wp:extent cx="6120130" cy="2541270"/>
            <wp:effectExtent l="0" t="0" r="0" b="0"/>
            <wp:docPr id="12" name="Chart 12" descr="Chart E.2: Taxation revenue, ratio to GSP">
              <a:extLst xmlns:a="http://schemas.openxmlformats.org/drawingml/2006/main">
                <a:ext uri="{FF2B5EF4-FFF2-40B4-BE49-F238E27FC236}">
                  <a16:creationId xmlns:a16="http://schemas.microsoft.com/office/drawing/2014/main" id="{B9728093-49B1-4DCC-A09B-C756599B1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1AE352" w14:textId="0685C853" w:rsidR="002B1C72" w:rsidRDefault="003930C4" w:rsidP="00D216D4">
      <w:pPr>
        <w:pStyle w:val="BodyText"/>
      </w:pPr>
      <w:r>
        <w:t>T</w:t>
      </w:r>
      <w:r w:rsidR="00537D3D">
        <w:t>he Government</w:t>
      </w:r>
      <w:r>
        <w:t xml:space="preserve"> will </w:t>
      </w:r>
      <w:r w:rsidR="007D67A8">
        <w:t>continue to deliver</w:t>
      </w:r>
      <w:r w:rsidR="00537D3D">
        <w:t xml:space="preserve"> </w:t>
      </w:r>
      <w:r w:rsidR="008B2DE7">
        <w:t>its</w:t>
      </w:r>
      <w:r w:rsidR="00537D3D">
        <w:t xml:space="preserve"> </w:t>
      </w:r>
      <w:r w:rsidR="00B40DB3">
        <w:t xml:space="preserve">record </w:t>
      </w:r>
      <w:r w:rsidR="007D67A8">
        <w:t xml:space="preserve">infrastructure </w:t>
      </w:r>
      <w:r w:rsidR="00537D3D">
        <w:t>program</w:t>
      </w:r>
      <w:r w:rsidR="0065147D">
        <w:t xml:space="preserve"> with</w:t>
      </w:r>
      <w:r w:rsidR="008902CC">
        <w:t xml:space="preserve"> t</w:t>
      </w:r>
      <w:r w:rsidR="00517FDE">
        <w:t xml:space="preserve">otal investment </w:t>
      </w:r>
      <w:r w:rsidR="007A2A83">
        <w:t>in</w:t>
      </w:r>
      <w:r w:rsidR="00517FDE">
        <w:t xml:space="preserve"> the </w:t>
      </w:r>
      <w:r w:rsidR="004A7EEC">
        <w:t>g</w:t>
      </w:r>
      <w:r w:rsidR="00FD167F">
        <w:t xml:space="preserve">eneral </w:t>
      </w:r>
      <w:r w:rsidR="004A7EEC">
        <w:t>g</w:t>
      </w:r>
      <w:r w:rsidR="00FD167F">
        <w:t>overnment</w:t>
      </w:r>
      <w:r w:rsidR="00517FDE">
        <w:t xml:space="preserve"> sector </w:t>
      </w:r>
      <w:r w:rsidR="004A7EEC">
        <w:t>reaching $</w:t>
      </w:r>
      <w:r w:rsidR="0049420D" w:rsidRPr="00E4681B">
        <w:t>10</w:t>
      </w:r>
      <w:r w:rsidR="006E68F2" w:rsidRPr="00E4681B">
        <w:t>7.1</w:t>
      </w:r>
      <w:r w:rsidR="004A7EEC">
        <w:t xml:space="preserve"> billion over the four years to 202</w:t>
      </w:r>
      <w:r w:rsidR="00F55D06">
        <w:t>3</w:t>
      </w:r>
      <w:r w:rsidR="004A7EEC">
        <w:t>-2</w:t>
      </w:r>
      <w:r w:rsidR="00F55D06">
        <w:t>4</w:t>
      </w:r>
      <w:r w:rsidR="004A7EEC">
        <w:t>.</w:t>
      </w:r>
    </w:p>
    <w:p w14:paraId="3C9108E8" w14:textId="7C5829F4" w:rsidR="003C0A10" w:rsidRDefault="00517FDE" w:rsidP="00C15174">
      <w:pPr>
        <w:pStyle w:val="BodyText"/>
      </w:pPr>
      <w:r>
        <w:t xml:space="preserve">The sustainability of this investment </w:t>
      </w:r>
      <w:r w:rsidR="00F95E37">
        <w:t>is made possible</w:t>
      </w:r>
      <w:r w:rsidR="00126FCA">
        <w:t xml:space="preserve"> by </w:t>
      </w:r>
      <w:r w:rsidR="00B23AA3">
        <w:t xml:space="preserve">the </w:t>
      </w:r>
      <w:r w:rsidR="00126FCA">
        <w:t xml:space="preserve">proceeds from the </w:t>
      </w:r>
      <w:r w:rsidR="042B7256">
        <w:t xml:space="preserve">State’s </w:t>
      </w:r>
      <w:r w:rsidR="00537D3D">
        <w:t>asset recycling program</w:t>
      </w:r>
      <w:r w:rsidR="003C0A10">
        <w:t xml:space="preserve"> and the establishment of the State’s dedicated</w:t>
      </w:r>
      <w:r w:rsidR="00537D3D">
        <w:t xml:space="preserve"> debt</w:t>
      </w:r>
      <w:r w:rsidR="003C0A10">
        <w:t xml:space="preserve"> retirement fund – </w:t>
      </w:r>
      <w:r w:rsidR="5DDF5BEC">
        <w:t>the NSW Generations Fund (</w:t>
      </w:r>
      <w:r w:rsidR="003C0A10">
        <w:t>NGF</w:t>
      </w:r>
      <w:r w:rsidR="4E9FD4C7">
        <w:t>)</w:t>
      </w:r>
      <w:r w:rsidR="003C0A10">
        <w:t xml:space="preserve">. </w:t>
      </w:r>
    </w:p>
    <w:p w14:paraId="662A5E9A" w14:textId="04A29579" w:rsidR="00A84305" w:rsidRDefault="00CC0F2F" w:rsidP="00A84305">
      <w:pPr>
        <w:pStyle w:val="BodyText"/>
      </w:pPr>
      <w:r>
        <w:t xml:space="preserve">The Government will </w:t>
      </w:r>
      <w:r w:rsidR="00DF216E">
        <w:t xml:space="preserve">continue its successful asset recycling program in the 2020-21 </w:t>
      </w:r>
      <w:r w:rsidR="006C7DCC">
        <w:t>Budget and</w:t>
      </w:r>
      <w:r w:rsidR="00DF216E">
        <w:t xml:space="preserve"> will progress the sale of the State’s </w:t>
      </w:r>
      <w:r w:rsidR="00F44C95">
        <w:t xml:space="preserve">residual </w:t>
      </w:r>
      <w:r w:rsidR="00DF216E">
        <w:t>49</w:t>
      </w:r>
      <w:r w:rsidR="00683ABB">
        <w:t> </w:t>
      </w:r>
      <w:r w:rsidR="00DF216E">
        <w:t>per cent share in WestConnex</w:t>
      </w:r>
      <w:r w:rsidR="00262D5E">
        <w:t xml:space="preserve"> following the </w:t>
      </w:r>
      <w:r w:rsidR="00C17299">
        <w:t xml:space="preserve">successful </w:t>
      </w:r>
      <w:r w:rsidR="00DD3F12">
        <w:t xml:space="preserve">51 per cent </w:t>
      </w:r>
      <w:r w:rsidR="003F69B0">
        <w:t xml:space="preserve">of the WestConnex </w:t>
      </w:r>
      <w:r w:rsidR="00C17299">
        <w:t xml:space="preserve">transaction </w:t>
      </w:r>
      <w:r w:rsidR="0083375C">
        <w:t xml:space="preserve">completed </w:t>
      </w:r>
      <w:r w:rsidR="00C17299">
        <w:t xml:space="preserve">in </w:t>
      </w:r>
      <w:r w:rsidR="00B452CB">
        <w:t>August 2018.</w:t>
      </w:r>
      <w:r w:rsidR="003C0A10">
        <w:t xml:space="preserve"> Net proceeds from the transaction will be placed in the NGF. </w:t>
      </w:r>
    </w:p>
    <w:p w14:paraId="5F7A16E7" w14:textId="7046D843" w:rsidR="00817D30" w:rsidRPr="00C50351" w:rsidRDefault="00817D30" w:rsidP="006E7B02">
      <w:pPr>
        <w:pStyle w:val="BodyText"/>
        <w:spacing w:before="300"/>
        <w:rPr>
          <w:i/>
          <w:iCs/>
        </w:rPr>
      </w:pPr>
      <w:r w:rsidRPr="00C50351">
        <w:rPr>
          <w:i/>
          <w:iCs/>
        </w:rPr>
        <w:t>Outcome Budgeting</w:t>
      </w:r>
    </w:p>
    <w:p w14:paraId="7240B1D3" w14:textId="77777777" w:rsidR="002C4426" w:rsidRPr="00C50351" w:rsidRDefault="002C4426" w:rsidP="00C50351">
      <w:pPr>
        <w:pStyle w:val="BodyText"/>
      </w:pPr>
      <w:r w:rsidRPr="00C50351">
        <w:t>Outcome Budgeting is a multi-year reform program that improves oversight of total expenditure, as well as providing greater evidence to support and prioritise resource allocation. Sustained over time, Outcome Budgeting improves the way that Government plans and manages resources to deliver outcomes for the people of New South Wales.</w:t>
      </w:r>
      <w:r w:rsidRPr="00C50351">
        <w:rPr>
          <w:rFonts w:hint="eastAsia"/>
        </w:rPr>
        <w:t> </w:t>
      </w:r>
      <w:r w:rsidRPr="00C50351">
        <w:t xml:space="preserve">The framework enables ongoing performance monitoring and assessment to ensure resources are well managed and targeted to deliver State Outcomes efficiently and effectively. </w:t>
      </w:r>
    </w:p>
    <w:p w14:paraId="130CAACF" w14:textId="465EF09B" w:rsidR="002C4426" w:rsidRPr="002C4426" w:rsidRDefault="002C4426">
      <w:pPr>
        <w:pStyle w:val="BodyText"/>
      </w:pPr>
      <w:r w:rsidRPr="00C50351">
        <w:t>Outcome and Business Plans will be regularly updated and reviewed to inform ongoing planning and management across the suite of State Outcomes. This includes a continued focus on improving performance measurement, ensuring all Outcome Indicators have performance targets and reviewing and refining Programs and Program Performance Measures. </w:t>
      </w:r>
      <w:r w:rsidRPr="00C50351">
        <w:rPr>
          <w:rFonts w:hint="eastAsia"/>
        </w:rPr>
        <w:t> </w:t>
      </w:r>
    </w:p>
    <w:p w14:paraId="4EFC4C84" w14:textId="2CE9736A" w:rsidR="00A01D97" w:rsidRDefault="00A01D97" w:rsidP="00EC1F01">
      <w:pPr>
        <w:pStyle w:val="BodyText"/>
        <w:rPr>
          <w:i/>
          <w:iCs/>
        </w:rPr>
      </w:pPr>
      <w:r w:rsidRPr="001E52B0">
        <w:t xml:space="preserve">To support the implementation of Outcome Budgeting and the principle of sustainable spending, the Fiscal Repair Program will review </w:t>
      </w:r>
      <w:r w:rsidR="00196686">
        <w:t>C</w:t>
      </w:r>
      <w:r w:rsidRPr="001E52B0">
        <w:t xml:space="preserve">luster </w:t>
      </w:r>
      <w:r w:rsidR="00EE2F78">
        <w:t>State O</w:t>
      </w:r>
      <w:r w:rsidRPr="001E52B0">
        <w:t>utcomes and associated performance targets to:</w:t>
      </w:r>
    </w:p>
    <w:p w14:paraId="0BD404B7" w14:textId="713CD866" w:rsidR="00D91239" w:rsidRPr="006E7B02" w:rsidRDefault="00D91239" w:rsidP="006E7B02">
      <w:pPr>
        <w:pStyle w:val="Bullet1"/>
      </w:pPr>
      <w:r w:rsidRPr="006E7B02">
        <w:t>ensure N</w:t>
      </w:r>
      <w:r w:rsidR="000E0D6B" w:rsidRPr="006E7B02">
        <w:t xml:space="preserve">ew </w:t>
      </w:r>
      <w:r w:rsidRPr="006E7B02">
        <w:t>S</w:t>
      </w:r>
      <w:r w:rsidR="000E0D6B" w:rsidRPr="006E7B02">
        <w:t xml:space="preserve">outh </w:t>
      </w:r>
      <w:r w:rsidRPr="006E7B02">
        <w:t>W</w:t>
      </w:r>
      <w:r w:rsidR="000E0D6B" w:rsidRPr="006E7B02">
        <w:t>ales</w:t>
      </w:r>
      <w:r w:rsidRPr="006E7B02">
        <w:t xml:space="preserve"> taxpayers are receiving value-for-money from the public sector</w:t>
      </w:r>
    </w:p>
    <w:p w14:paraId="5FC58CD6" w14:textId="20155C7E" w:rsidR="00D91239" w:rsidRPr="006E7B02" w:rsidRDefault="00D91239" w:rsidP="006E7B02">
      <w:pPr>
        <w:pStyle w:val="Bullet1"/>
      </w:pPr>
      <w:r w:rsidRPr="006E7B02">
        <w:t xml:space="preserve">ensure </w:t>
      </w:r>
      <w:r w:rsidR="00762D0B" w:rsidRPr="006E7B02">
        <w:t>the</w:t>
      </w:r>
      <w:r w:rsidR="000E0D6B" w:rsidRPr="006E7B02">
        <w:t xml:space="preserve"> </w:t>
      </w:r>
      <w:r w:rsidRPr="006E7B02">
        <w:t xml:space="preserve">Government is delivering its </w:t>
      </w:r>
      <w:r w:rsidR="00EE2F78" w:rsidRPr="006E7B02">
        <w:t>O</w:t>
      </w:r>
      <w:r w:rsidRPr="006E7B02">
        <w:t>utcomes in the most efficient and effective manner possible</w:t>
      </w:r>
    </w:p>
    <w:p w14:paraId="38B8DBF6" w14:textId="06274F07" w:rsidR="00D91239" w:rsidRPr="006E7B02" w:rsidRDefault="00D91239" w:rsidP="006E7B02">
      <w:pPr>
        <w:pStyle w:val="Bullet1"/>
      </w:pPr>
      <w:r w:rsidRPr="006E7B02">
        <w:t xml:space="preserve">review </w:t>
      </w:r>
      <w:r w:rsidR="00EE2F78" w:rsidRPr="006E7B02">
        <w:t>O</w:t>
      </w:r>
      <w:r w:rsidRPr="006E7B02">
        <w:t xml:space="preserve">utcome and </w:t>
      </w:r>
      <w:r w:rsidR="00EE2F78" w:rsidRPr="006E7B02">
        <w:t>P</w:t>
      </w:r>
      <w:r w:rsidRPr="006E7B02">
        <w:t xml:space="preserve">rogram expenditures (including performance metrics) to identify reform opportunities and provide options to Government to assist in returning the </w:t>
      </w:r>
      <w:r w:rsidR="000E0D6B" w:rsidRPr="006E7B02">
        <w:t>b</w:t>
      </w:r>
      <w:r w:rsidRPr="006E7B02">
        <w:t>udget to a sustainable operating and debt position over the medium</w:t>
      </w:r>
      <w:r w:rsidR="00091E3F" w:rsidRPr="006E7B02">
        <w:t xml:space="preserve"> </w:t>
      </w:r>
      <w:r w:rsidRPr="006E7B02">
        <w:t>term</w:t>
      </w:r>
    </w:p>
    <w:p w14:paraId="26DB4DA0" w14:textId="2D0F7B30" w:rsidR="00D91239" w:rsidRPr="006E7B02" w:rsidRDefault="23EF6768" w:rsidP="006E7B02">
      <w:pPr>
        <w:pStyle w:val="Bullet1"/>
      </w:pPr>
      <w:r w:rsidRPr="006E7B02">
        <w:t xml:space="preserve">ensure financial resources are appropriately aligned across </w:t>
      </w:r>
      <w:r w:rsidR="006972F0" w:rsidRPr="006E7B02">
        <w:t>C</w:t>
      </w:r>
      <w:r w:rsidRPr="006E7B02">
        <w:t>lusters to the delivery of outcomes</w:t>
      </w:r>
      <w:r w:rsidR="7F36D384" w:rsidRPr="006E7B02">
        <w:t xml:space="preserve"> and government priorities</w:t>
      </w:r>
      <w:r w:rsidRPr="006E7B02">
        <w:t xml:space="preserve"> </w:t>
      </w:r>
    </w:p>
    <w:p w14:paraId="463DC41F" w14:textId="4ED3EC13" w:rsidR="00D91239" w:rsidRPr="006E7B02" w:rsidRDefault="00D91239" w:rsidP="006E7B02">
      <w:pPr>
        <w:pStyle w:val="Bullet1"/>
      </w:pPr>
      <w:r w:rsidRPr="006E7B02">
        <w:t xml:space="preserve">investigate areas of </w:t>
      </w:r>
      <w:r w:rsidR="000E0D6B" w:rsidRPr="006E7B02">
        <w:t>g</w:t>
      </w:r>
      <w:r w:rsidRPr="006E7B02">
        <w:t xml:space="preserve">overnment spending which may be unnecessary, inefficient, low value, do not align with State or </w:t>
      </w:r>
      <w:r w:rsidR="009D680C" w:rsidRPr="006E7B02">
        <w:t>C</w:t>
      </w:r>
      <w:r w:rsidRPr="006E7B02">
        <w:t xml:space="preserve">luster </w:t>
      </w:r>
      <w:r w:rsidR="000E0D6B" w:rsidRPr="006E7B02">
        <w:t>O</w:t>
      </w:r>
      <w:r w:rsidRPr="006E7B02">
        <w:t>utcomes, and/or can be better delivered under different arrangements</w:t>
      </w:r>
      <w:r w:rsidR="001D0981" w:rsidRPr="006E7B02">
        <w:t>, and</w:t>
      </w:r>
    </w:p>
    <w:p w14:paraId="4A99C0AA" w14:textId="77777777" w:rsidR="00D91239" w:rsidRPr="006E7B02" w:rsidRDefault="00D91239" w:rsidP="006E7B02">
      <w:pPr>
        <w:pStyle w:val="Bullet1"/>
      </w:pPr>
      <w:r w:rsidRPr="006E7B02">
        <w:t>develop and implement frameworks to enhance financial accountability across the sector.</w:t>
      </w:r>
    </w:p>
    <w:p w14:paraId="1C5F5FEC" w14:textId="25D28729" w:rsidR="002122B2" w:rsidRPr="002B1C72" w:rsidRDefault="00EA2429" w:rsidP="00A5618F">
      <w:pPr>
        <w:pStyle w:val="Heading4"/>
      </w:pPr>
      <w:r w:rsidRPr="002B1C72">
        <w:t>Principle 2</w:t>
      </w:r>
      <w:r w:rsidR="007371EE" w:rsidRPr="002B1C72">
        <w:t xml:space="preserve"> </w:t>
      </w:r>
      <w:r w:rsidR="000F54DA" w:rsidRPr="002B1C72">
        <w:t>–</w:t>
      </w:r>
      <w:r w:rsidR="00862072" w:rsidRPr="002B1C72">
        <w:t xml:space="preserve"> E</w:t>
      </w:r>
      <w:r w:rsidRPr="002B1C72">
        <w:t>ffective</w:t>
      </w:r>
      <w:r w:rsidR="0041545E" w:rsidRPr="002B1C72">
        <w:t xml:space="preserve"> financial and asset management policies</w:t>
      </w:r>
      <w:r w:rsidRPr="002B1C72">
        <w:t xml:space="preserve"> </w:t>
      </w:r>
    </w:p>
    <w:p w14:paraId="546336FB" w14:textId="08FD2DB9" w:rsidR="000E12CE" w:rsidRPr="000E12CE" w:rsidRDefault="0062439A" w:rsidP="00EC1F01">
      <w:pPr>
        <w:pStyle w:val="BodyText"/>
      </w:pPr>
      <w:r>
        <w:t>This</w:t>
      </w:r>
      <w:r w:rsidR="00425B92">
        <w:t xml:space="preserve"> principle</w:t>
      </w:r>
      <w:r w:rsidR="000F3058">
        <w:t xml:space="preserve"> </w:t>
      </w:r>
      <w:r w:rsidR="00425B92" w:rsidRPr="00425B92">
        <w:t>includ</w:t>
      </w:r>
      <w:r w:rsidR="00425B92">
        <w:t>es</w:t>
      </w:r>
      <w:r w:rsidR="00425B92" w:rsidRPr="00425B92">
        <w:t xml:space="preserve"> </w:t>
      </w:r>
      <w:r w:rsidR="00425B92">
        <w:t xml:space="preserve">having </w:t>
      </w:r>
      <w:r w:rsidR="00425B92" w:rsidRPr="00425B92">
        <w:t>sound policies and processes for</w:t>
      </w:r>
      <w:r w:rsidR="00425B92">
        <w:t xml:space="preserve"> </w:t>
      </w:r>
      <w:r w:rsidR="00425B92" w:rsidRPr="00425B92">
        <w:t>performance management and reporting, asset maintenance and enhancement, funding decisions and risk management practices</w:t>
      </w:r>
      <w:r w:rsidR="00425B92">
        <w:t>.</w:t>
      </w:r>
    </w:p>
    <w:p w14:paraId="5710E3A7" w14:textId="08EAAEAF" w:rsidR="004A6286" w:rsidRDefault="005A7A9E" w:rsidP="00EC1F01">
      <w:pPr>
        <w:pStyle w:val="BodyText"/>
      </w:pPr>
      <w:r w:rsidRPr="000E12CE">
        <w:t>The Government has continued to</w:t>
      </w:r>
      <w:r w:rsidR="000E12CE" w:rsidRPr="000E12CE">
        <w:t xml:space="preserve"> focus on </w:t>
      </w:r>
      <w:r w:rsidR="00E02663">
        <w:t xml:space="preserve">the </w:t>
      </w:r>
      <w:r w:rsidR="000E12CE" w:rsidRPr="000E12CE">
        <w:t xml:space="preserve">State’s balance sheet management, funding decisions and risk management </w:t>
      </w:r>
      <w:r w:rsidR="004A6286">
        <w:t>through</w:t>
      </w:r>
      <w:r w:rsidR="000E12CE" w:rsidRPr="000E12CE">
        <w:t xml:space="preserve"> the </w:t>
      </w:r>
      <w:r w:rsidR="398A95E8">
        <w:t>Treasury</w:t>
      </w:r>
      <w:r w:rsidR="000E12CE" w:rsidRPr="000E12CE">
        <w:t xml:space="preserve"> Asset and Liabilit</w:t>
      </w:r>
      <w:r w:rsidR="00FA07E0">
        <w:t>y</w:t>
      </w:r>
      <w:r w:rsidR="000E12CE" w:rsidRPr="000E12CE">
        <w:t xml:space="preserve"> Committee (ALCO)</w:t>
      </w:r>
      <w:r w:rsidR="00017CB0">
        <w:t xml:space="preserve">. </w:t>
      </w:r>
      <w:r w:rsidR="00017CB0" w:rsidRPr="00DF4D4F">
        <w:t>This</w:t>
      </w:r>
      <w:r w:rsidR="004A6286" w:rsidRPr="00DF4D4F">
        <w:t xml:space="preserve"> includ</w:t>
      </w:r>
      <w:r w:rsidR="00017CB0" w:rsidRPr="00DF4D4F">
        <w:t>es</w:t>
      </w:r>
      <w:r w:rsidR="004A6286" w:rsidRPr="00DF4D4F">
        <w:t xml:space="preserve"> </w:t>
      </w:r>
      <w:r w:rsidR="008C2EA6">
        <w:t xml:space="preserve">managing the </w:t>
      </w:r>
      <w:r w:rsidR="004A6286" w:rsidRPr="00DF4D4F">
        <w:t xml:space="preserve">cash </w:t>
      </w:r>
      <w:r w:rsidR="006C7B87">
        <w:t xml:space="preserve">centralisation strategy with further funds being brought into the State’s central </w:t>
      </w:r>
      <w:r w:rsidR="00FB12B9">
        <w:t>liquidity</w:t>
      </w:r>
      <w:r w:rsidR="006C7B87">
        <w:t xml:space="preserve"> pool, </w:t>
      </w:r>
      <w:r w:rsidR="004A6286" w:rsidRPr="00DF4D4F">
        <w:t xml:space="preserve">optimisation of </w:t>
      </w:r>
      <w:r w:rsidR="00017CB0" w:rsidRPr="00DF4D4F">
        <w:t xml:space="preserve">the State’s </w:t>
      </w:r>
      <w:r w:rsidR="004A6286" w:rsidRPr="00DF4D4F">
        <w:t>balance sheet</w:t>
      </w:r>
      <w:r w:rsidR="008B1CFD">
        <w:t>,</w:t>
      </w:r>
      <w:r w:rsidR="004A6286" w:rsidRPr="00DF4D4F">
        <w:t xml:space="preserve"> and a</w:t>
      </w:r>
      <w:r w:rsidR="00B20112">
        <w:t xml:space="preserve"> new</w:t>
      </w:r>
      <w:r w:rsidR="004A6286" w:rsidRPr="00DF4D4F">
        <w:t xml:space="preserve"> </w:t>
      </w:r>
      <w:r w:rsidR="00DF4D4F" w:rsidRPr="00DF4D4F">
        <w:t>Asset Management Policy</w:t>
      </w:r>
      <w:r w:rsidR="00DB0228">
        <w:t xml:space="preserve"> </w:t>
      </w:r>
      <w:r w:rsidR="00B20112">
        <w:t xml:space="preserve">as a best-practice framework for managing the State’s existing </w:t>
      </w:r>
      <w:r w:rsidR="002255E8">
        <w:t>physical assets</w:t>
      </w:r>
      <w:r w:rsidR="004A6286" w:rsidRPr="004A6286">
        <w:t>.</w:t>
      </w:r>
    </w:p>
    <w:p w14:paraId="738713C9" w14:textId="1F95B66E" w:rsidR="00DB0228" w:rsidRPr="001C1CD1" w:rsidRDefault="7741A7CE" w:rsidP="00EC1F01">
      <w:pPr>
        <w:pStyle w:val="BodyText"/>
      </w:pPr>
      <w:r>
        <w:t xml:space="preserve">The Asset Management Policy </w:t>
      </w:r>
      <w:r w:rsidR="11F7930C">
        <w:t xml:space="preserve">will improve asset management planning and delivery practices </w:t>
      </w:r>
      <w:r w:rsidR="4A60FE5B">
        <w:t xml:space="preserve">across the Government by lifting agencies’ asset management capability. </w:t>
      </w:r>
      <w:r w:rsidR="63CF117D">
        <w:t>O</w:t>
      </w:r>
      <w:r w:rsidR="000E0D6B">
        <w:t xml:space="preserve">ut of </w:t>
      </w:r>
      <w:r w:rsidR="63CF117D">
        <w:t>the</w:t>
      </w:r>
      <w:r w:rsidR="0A15FC37">
        <w:t xml:space="preserve"> </w:t>
      </w:r>
      <w:proofErr w:type="gramStart"/>
      <w:r w:rsidR="0A15FC37">
        <w:t>State</w:t>
      </w:r>
      <w:r w:rsidR="009F73AA">
        <w:t xml:space="preserve"> </w:t>
      </w:r>
      <w:r w:rsidR="000E0D6B">
        <w:t>o</w:t>
      </w:r>
      <w:r w:rsidR="0A15FC37">
        <w:t>wned</w:t>
      </w:r>
      <w:proofErr w:type="gramEnd"/>
      <w:r w:rsidR="0A15FC37">
        <w:t xml:space="preserve"> physical asset </w:t>
      </w:r>
      <w:r w:rsidR="504622D3">
        <w:t xml:space="preserve">base </w:t>
      </w:r>
      <w:r w:rsidR="0A15FC37">
        <w:t>of $</w:t>
      </w:r>
      <w:r w:rsidR="009B74FC">
        <w:t>368.</w:t>
      </w:r>
      <w:r w:rsidR="000E2E9A">
        <w:t>1</w:t>
      </w:r>
      <w:r w:rsidR="009B74FC">
        <w:t xml:space="preserve"> </w:t>
      </w:r>
      <w:r w:rsidR="0A15FC37">
        <w:t xml:space="preserve">billion, </w:t>
      </w:r>
      <w:r w:rsidR="001E6D04">
        <w:t>t</w:t>
      </w:r>
      <w:r w:rsidR="001E6D04" w:rsidRPr="00A1397D">
        <w:t xml:space="preserve">he largest component </w:t>
      </w:r>
      <w:r w:rsidR="001E6D04">
        <w:t xml:space="preserve">as </w:t>
      </w:r>
      <w:r w:rsidR="001E6D04" w:rsidRPr="00A1397D">
        <w:t>at 30 June 20</w:t>
      </w:r>
      <w:r w:rsidR="001E6D04">
        <w:t>20</w:t>
      </w:r>
      <w:r w:rsidR="001E6D04" w:rsidRPr="00A1397D">
        <w:t xml:space="preserve"> was infrastructure systems ($</w:t>
      </w:r>
      <w:r w:rsidR="001E6D04">
        <w:t>180.2</w:t>
      </w:r>
      <w:r w:rsidR="001E6D04" w:rsidRPr="00A1397D">
        <w:t xml:space="preserve"> billion</w:t>
      </w:r>
      <w:r w:rsidR="04E6EEE2">
        <w:t>)</w:t>
      </w:r>
      <w:r w:rsidR="16DC7D6E">
        <w:t>.</w:t>
      </w:r>
      <w:r w:rsidR="04E6EEE2">
        <w:t xml:space="preserve"> </w:t>
      </w:r>
      <w:r w:rsidR="03D4AFB7">
        <w:t>This</w:t>
      </w:r>
      <w:r w:rsidR="001E6D04" w:rsidRPr="00A1397D">
        <w:t xml:space="preserve"> included roads, railways, ports, dams and pipelines</w:t>
      </w:r>
      <w:r w:rsidR="7D2A3E12">
        <w:t>.</w:t>
      </w:r>
      <w:r w:rsidR="4F9F701B">
        <w:t xml:space="preserve"> </w:t>
      </w:r>
      <w:r w:rsidR="4E9690C3">
        <w:t>B</w:t>
      </w:r>
      <w:r w:rsidR="04E6EEE2">
        <w:t>uildings</w:t>
      </w:r>
      <w:r w:rsidR="001E6D04" w:rsidRPr="00A1397D">
        <w:t xml:space="preserve"> ($</w:t>
      </w:r>
      <w:r w:rsidR="001E6D04">
        <w:t>94.2</w:t>
      </w:r>
      <w:r w:rsidR="001E6D04" w:rsidRPr="00A1397D">
        <w:t xml:space="preserve"> billion), land ($</w:t>
      </w:r>
      <w:r w:rsidR="001E6D04">
        <w:t>74.6</w:t>
      </w:r>
      <w:r w:rsidR="001E6D04" w:rsidRPr="00A1397D">
        <w:t> billion) and plant and equipment ($</w:t>
      </w:r>
      <w:r w:rsidR="001E6D04">
        <w:t>18.5</w:t>
      </w:r>
      <w:r w:rsidR="001E6D04" w:rsidRPr="00A1397D">
        <w:t xml:space="preserve"> billion</w:t>
      </w:r>
      <w:r w:rsidR="04E6EEE2">
        <w:t>)</w:t>
      </w:r>
      <w:r w:rsidR="50E659EF">
        <w:t xml:space="preserve"> comprise the remainder of the State’s physical asset base</w:t>
      </w:r>
      <w:r w:rsidR="04E6EEE2">
        <w:t>.</w:t>
      </w:r>
      <w:r w:rsidR="00A806C9">
        <w:t xml:space="preserve"> T</w:t>
      </w:r>
      <w:r w:rsidR="4A60FE5B">
        <w:t>he</w:t>
      </w:r>
      <w:r w:rsidR="0A15FC37">
        <w:t xml:space="preserve"> Asset Management Policy for the NSW Public Sector (TPP 19-07)</w:t>
      </w:r>
      <w:r w:rsidR="4A60FE5B">
        <w:t xml:space="preserve"> </w:t>
      </w:r>
      <w:r w:rsidR="6CE07504">
        <w:t xml:space="preserve">will ensure alignment of agencies’ asset management approaches with industry practice and international standards (ISO 55001). </w:t>
      </w:r>
    </w:p>
    <w:p w14:paraId="3656FDFA" w14:textId="508A73AF" w:rsidR="004A6286" w:rsidRDefault="002B00C2" w:rsidP="00EC1F01">
      <w:pPr>
        <w:pStyle w:val="BodyText"/>
      </w:pPr>
      <w:r>
        <w:t xml:space="preserve">Some </w:t>
      </w:r>
      <w:r w:rsidR="004A6286">
        <w:t xml:space="preserve">additional </w:t>
      </w:r>
      <w:r>
        <w:t>reforms and polices implemented</w:t>
      </w:r>
      <w:r w:rsidR="004A6286">
        <w:t xml:space="preserve"> by the Government </w:t>
      </w:r>
      <w:r>
        <w:t>include:</w:t>
      </w:r>
    </w:p>
    <w:p w14:paraId="79B5AFDB" w14:textId="14FDFFA1" w:rsidR="004A6286" w:rsidRPr="001D0981" w:rsidRDefault="000A6889" w:rsidP="00856E17">
      <w:pPr>
        <w:pStyle w:val="Bullet1"/>
      </w:pPr>
      <w:r>
        <w:t>s</w:t>
      </w:r>
      <w:r w:rsidR="00614AC3" w:rsidRPr="00DF4D4F">
        <w:t xml:space="preserve">trengthened </w:t>
      </w:r>
      <w:r w:rsidR="004A6286" w:rsidRPr="00DF4D4F">
        <w:t>reporting and management of contingent ass</w:t>
      </w:r>
      <w:r w:rsidR="004A6286" w:rsidRPr="001D0981">
        <w:t>ets and liabilities</w:t>
      </w:r>
    </w:p>
    <w:p w14:paraId="3480A573" w14:textId="3C9E67A0" w:rsidR="00240F42" w:rsidRDefault="00240F42" w:rsidP="00E34A12">
      <w:pPr>
        <w:pStyle w:val="Bullet1"/>
      </w:pPr>
      <w:r w:rsidRPr="00E34A12">
        <w:t>the</w:t>
      </w:r>
      <w:r w:rsidR="00614AC3" w:rsidRPr="00FA7152">
        <w:t xml:space="preserve"> </w:t>
      </w:r>
      <w:r w:rsidR="004A6286" w:rsidRPr="00FA7152">
        <w:t xml:space="preserve">issuance of Green Bonds </w:t>
      </w:r>
      <w:r w:rsidR="00FA7152" w:rsidRPr="00FA7152">
        <w:t xml:space="preserve">in November 2018 and October 2020 </w:t>
      </w:r>
      <w:r w:rsidR="00A12577" w:rsidRPr="00FA7152">
        <w:t xml:space="preserve">and Sustainability Bonds </w:t>
      </w:r>
      <w:r w:rsidR="00FA7152" w:rsidRPr="00FA7152">
        <w:t>in November 2019</w:t>
      </w:r>
      <w:r w:rsidR="002D0C33">
        <w:t>,</w:t>
      </w:r>
      <w:r w:rsidR="00FA7152" w:rsidRPr="00FA7152">
        <w:t xml:space="preserve"> </w:t>
      </w:r>
      <w:r w:rsidR="00A12577" w:rsidRPr="00FA7152">
        <w:t>totalling $5.2 billion</w:t>
      </w:r>
      <w:r w:rsidR="004A6286" w:rsidRPr="00FA7152">
        <w:t xml:space="preserve"> to fund projects delivering environmental and social benefits</w:t>
      </w:r>
    </w:p>
    <w:p w14:paraId="665FA0D5" w14:textId="17746F7E" w:rsidR="00DB0228" w:rsidRDefault="00EF1C1B">
      <w:pPr>
        <w:pStyle w:val="Bullet1"/>
      </w:pPr>
      <w:r w:rsidRPr="235CA9BD">
        <w:rPr>
          <w:rFonts w:eastAsiaTheme="minorEastAsia"/>
        </w:rPr>
        <w:t xml:space="preserve">debt management measures including </w:t>
      </w:r>
      <w:r w:rsidR="00084280" w:rsidRPr="235CA9BD">
        <w:rPr>
          <w:rFonts w:eastAsiaTheme="minorEastAsia"/>
        </w:rPr>
        <w:t>broaden</w:t>
      </w:r>
      <w:r w:rsidR="00985173" w:rsidRPr="235CA9BD">
        <w:rPr>
          <w:rFonts w:eastAsiaTheme="minorEastAsia"/>
        </w:rPr>
        <w:t>ing</w:t>
      </w:r>
      <w:r w:rsidR="00084280" w:rsidRPr="235CA9BD">
        <w:rPr>
          <w:rFonts w:eastAsiaTheme="minorEastAsia"/>
        </w:rPr>
        <w:t xml:space="preserve"> </w:t>
      </w:r>
      <w:r w:rsidR="13F563E0" w:rsidRPr="235CA9BD">
        <w:rPr>
          <w:rFonts w:eastAsiaTheme="minorEastAsia"/>
        </w:rPr>
        <w:t>the</w:t>
      </w:r>
      <w:r w:rsidR="00084280" w:rsidRPr="235CA9BD">
        <w:rPr>
          <w:rFonts w:eastAsiaTheme="minorEastAsia"/>
        </w:rPr>
        <w:t xml:space="preserve"> investor base by issuing into new </w:t>
      </w:r>
      <w:r w:rsidR="3159A6A2" w:rsidRPr="235CA9BD">
        <w:rPr>
          <w:rFonts w:eastAsiaTheme="minorEastAsia"/>
        </w:rPr>
        <w:t>long</w:t>
      </w:r>
      <w:r w:rsidR="10534C83" w:rsidRPr="235CA9BD">
        <w:rPr>
          <w:rFonts w:eastAsiaTheme="minorEastAsia"/>
        </w:rPr>
        <w:t>er</w:t>
      </w:r>
      <w:r w:rsidR="00084280" w:rsidRPr="235CA9BD">
        <w:rPr>
          <w:rFonts w:eastAsiaTheme="minorEastAsia"/>
        </w:rPr>
        <w:t xml:space="preserve">-dated tenors </w:t>
      </w:r>
      <w:r w:rsidR="22301B6F" w:rsidRPr="235CA9BD">
        <w:rPr>
          <w:rFonts w:eastAsiaTheme="minorEastAsia"/>
        </w:rPr>
        <w:t>(beyond</w:t>
      </w:r>
      <w:r w:rsidR="000E0D6B">
        <w:rPr>
          <w:rFonts w:eastAsiaTheme="minorEastAsia"/>
        </w:rPr>
        <w:t xml:space="preserve"> </w:t>
      </w:r>
      <w:r w:rsidR="22301B6F" w:rsidRPr="235CA9BD">
        <w:rPr>
          <w:rFonts w:eastAsiaTheme="minorEastAsia"/>
        </w:rPr>
        <w:t>10 years)</w:t>
      </w:r>
      <w:r w:rsidR="00971D06">
        <w:rPr>
          <w:rFonts w:eastAsiaTheme="minorEastAsia"/>
        </w:rPr>
        <w:t xml:space="preserve">, </w:t>
      </w:r>
      <w:r w:rsidR="00971D06" w:rsidRPr="235CA9BD">
        <w:rPr>
          <w:rFonts w:eastAsiaTheme="minorEastAsia"/>
        </w:rPr>
        <w:t>rate</w:t>
      </w:r>
      <w:r w:rsidR="00971D06">
        <w:rPr>
          <w:rFonts w:eastAsiaTheme="minorEastAsia"/>
        </w:rPr>
        <w:t xml:space="preserve"> note</w:t>
      </w:r>
      <w:r w:rsidR="001F073C">
        <w:rPr>
          <w:rFonts w:eastAsiaTheme="minorEastAsia"/>
        </w:rPr>
        <w:t xml:space="preserve">s </w:t>
      </w:r>
      <w:r w:rsidR="00084280" w:rsidRPr="235CA9BD">
        <w:rPr>
          <w:rFonts w:eastAsiaTheme="minorEastAsia"/>
        </w:rPr>
        <w:t>and sustainability bond</w:t>
      </w:r>
      <w:r w:rsidR="001F073C">
        <w:rPr>
          <w:rFonts w:eastAsiaTheme="minorEastAsia"/>
        </w:rPr>
        <w:t>s</w:t>
      </w:r>
    </w:p>
    <w:p w14:paraId="3F9A7CA2" w14:textId="602DFD23" w:rsidR="006C7B87" w:rsidRPr="001E52B0" w:rsidRDefault="000A6889" w:rsidP="00856E17">
      <w:pPr>
        <w:pStyle w:val="Bullet1"/>
      </w:pPr>
      <w:r>
        <w:t>redirecting State Owned Corporation (SOC) dividends and income tax equivalents, excess T</w:t>
      </w:r>
      <w:r w:rsidR="00856E17">
        <w:t xml:space="preserve">reasury </w:t>
      </w:r>
      <w:r>
        <w:t>B</w:t>
      </w:r>
      <w:r w:rsidR="00856E17">
        <w:t xml:space="preserve">anking </w:t>
      </w:r>
      <w:r>
        <w:t>S</w:t>
      </w:r>
      <w:r w:rsidR="00856E17">
        <w:t>ystem (TBS)</w:t>
      </w:r>
      <w:r>
        <w:t xml:space="preserve"> cash, proceeds of future asset sales (including the 49</w:t>
      </w:r>
      <w:r w:rsidR="00733AD2">
        <w:t> </w:t>
      </w:r>
      <w:r w:rsidR="001041A7">
        <w:t>per</w:t>
      </w:r>
      <w:r w:rsidR="00D107D3">
        <w:t> </w:t>
      </w:r>
      <w:r w:rsidR="001041A7">
        <w:t>cent</w:t>
      </w:r>
      <w:r>
        <w:t xml:space="preserve"> stake in </w:t>
      </w:r>
      <w:r w:rsidR="003A589C">
        <w:t>WestConnex</w:t>
      </w:r>
      <w:r>
        <w:t>) and coal royalties into the NGF</w:t>
      </w:r>
      <w:r w:rsidR="00DB0228">
        <w:t>.</w:t>
      </w:r>
      <w:r w:rsidRPr="000A6889">
        <w:t xml:space="preserve"> </w:t>
      </w:r>
    </w:p>
    <w:p w14:paraId="49D0577E" w14:textId="5875D223" w:rsidR="00B735B1" w:rsidRPr="002B1C72" w:rsidRDefault="00F02466" w:rsidP="00A5618F">
      <w:pPr>
        <w:pStyle w:val="Heading4"/>
      </w:pPr>
      <w:r w:rsidRPr="002B1C72">
        <w:t xml:space="preserve">Principle 3 </w:t>
      </w:r>
      <w:r w:rsidR="00862072" w:rsidRPr="002B1C72">
        <w:t xml:space="preserve">– </w:t>
      </w:r>
      <w:r w:rsidR="000F54DA">
        <w:t>P</w:t>
      </w:r>
      <w:r w:rsidR="00862072" w:rsidRPr="002B1C72">
        <w:t>ro</w:t>
      </w:r>
      <w:r w:rsidRPr="002B1C72">
        <w:t>gress in achieving intergenerational equity</w:t>
      </w:r>
    </w:p>
    <w:p w14:paraId="5421FCB5" w14:textId="5F5512B6" w:rsidR="008B22B6" w:rsidRPr="008B22B6" w:rsidRDefault="008B22B6" w:rsidP="00EC1F01">
      <w:pPr>
        <w:pStyle w:val="BodyText"/>
      </w:pPr>
      <w:r w:rsidRPr="008B22B6">
        <w:t xml:space="preserve">The </w:t>
      </w:r>
      <w:r w:rsidR="007D0CB0">
        <w:t xml:space="preserve">FRA commits the </w:t>
      </w:r>
      <w:r w:rsidR="002011C8">
        <w:t>G</w:t>
      </w:r>
      <w:r w:rsidR="007D0CB0">
        <w:t xml:space="preserve">overnment to ensure that policy decisions </w:t>
      </w:r>
      <w:r w:rsidR="00761F61">
        <w:t>hav</w:t>
      </w:r>
      <w:r w:rsidR="00CA219E">
        <w:t>e</w:t>
      </w:r>
      <w:r w:rsidR="00761F61">
        <w:t xml:space="preserve"> regard to their financial effects on future generations and </w:t>
      </w:r>
      <w:r w:rsidR="00C73899">
        <w:t xml:space="preserve">that </w:t>
      </w:r>
      <w:r w:rsidR="00761F61">
        <w:t xml:space="preserve">the current generation funds the cost of services delivered today. </w:t>
      </w:r>
    </w:p>
    <w:p w14:paraId="0B288765" w14:textId="77777777" w:rsidR="0057401A" w:rsidRDefault="0057401A">
      <w:pPr>
        <w:spacing w:after="200" w:line="276" w:lineRule="auto"/>
        <w:rPr>
          <w:rFonts w:ascii="Arial" w:hAnsi="Arial"/>
          <w:sz w:val="23"/>
          <w:lang w:val="en-AU"/>
        </w:rPr>
      </w:pPr>
      <w:r>
        <w:br w:type="page"/>
      </w:r>
    </w:p>
    <w:p w14:paraId="253CF261" w14:textId="7A4383E9" w:rsidR="00E820CB" w:rsidRPr="009E2D66" w:rsidRDefault="00E820CB" w:rsidP="00E820CB">
      <w:pPr>
        <w:pStyle w:val="BodyText"/>
      </w:pPr>
      <w:r w:rsidRPr="009E2D66">
        <w:t xml:space="preserve">Each </w:t>
      </w:r>
      <w:r w:rsidR="00D06F6D" w:rsidRPr="009E2D66">
        <w:t>b</w:t>
      </w:r>
      <w:r w:rsidRPr="009E2D66">
        <w:t>udget reports the impact of its measures on the long-term fiscal gap, which is a summary indicator of the bud</w:t>
      </w:r>
      <w:r w:rsidR="009854EA">
        <w:t>g</w:t>
      </w:r>
      <w:r w:rsidRPr="009E2D66">
        <w:t>ets financial effect on future generations</w:t>
      </w:r>
      <w:r w:rsidR="00AF4F65" w:rsidRPr="009E2D66">
        <w:t>.</w:t>
      </w:r>
      <w:r w:rsidR="00AF4F65" w:rsidRPr="009E2D66">
        <w:rPr>
          <w:rStyle w:val="FootnoteReference"/>
        </w:rPr>
        <w:footnoteReference w:id="2"/>
      </w:r>
      <w:r w:rsidRPr="009E2D66">
        <w:t xml:space="preserve"> The </w:t>
      </w:r>
      <w:r w:rsidRPr="009E2D66">
        <w:rPr>
          <w:i/>
        </w:rPr>
        <w:t>2016 Intergenerational Report</w:t>
      </w:r>
      <w:r w:rsidRPr="009E2D66">
        <w:t xml:space="preserve"> highlighted that if current trends continue, a widening fiscal gap will emerge where expenditure would exceed revenues resulting in a fiscal gap of 3.4 per cent of GSP by 2055-56.</w:t>
      </w:r>
    </w:p>
    <w:p w14:paraId="498FDF9C" w14:textId="0B110049" w:rsidR="00E820CB" w:rsidRPr="00E820CB" w:rsidRDefault="00522A41" w:rsidP="00E820CB">
      <w:pPr>
        <w:pStyle w:val="BodyText"/>
      </w:pPr>
      <w:r>
        <w:t>As a result of Government decisions, the cumulative fiscal gap has increased by 0.2</w:t>
      </w:r>
      <w:r w:rsidR="006571B5">
        <w:t> per cent</w:t>
      </w:r>
      <w:r>
        <w:t xml:space="preserve"> (0.1</w:t>
      </w:r>
      <w:r w:rsidR="006571B5">
        <w:t> per cent</w:t>
      </w:r>
      <w:r>
        <w:t xml:space="preserve"> since 2019-20 Budget), to be </w:t>
      </w:r>
      <w:r w:rsidR="00805EE3">
        <w:t>3.6 per cent of GSP by 2055-56</w:t>
      </w:r>
      <w:r w:rsidR="00C87C48">
        <w:t xml:space="preserve">. </w:t>
      </w:r>
      <w:r w:rsidR="00287533" w:rsidRPr="009E2D66">
        <w:t>The targeted nature of the Government’s response and recovery measures to the drought, 2019 summer bushfires and COVID-19 mean</w:t>
      </w:r>
      <w:r w:rsidR="00024CC8">
        <w:t>s</w:t>
      </w:r>
      <w:r w:rsidR="00287533" w:rsidRPr="009E2D66">
        <w:t xml:space="preserve"> there is no structural</w:t>
      </w:r>
      <w:r w:rsidR="00AA714E" w:rsidRPr="009E2D66">
        <w:t xml:space="preserve"> budget deficit going forward. </w:t>
      </w:r>
      <w:r w:rsidR="009F73AA">
        <w:t>The extended 2040 superannuation target date, t</w:t>
      </w:r>
      <w:r w:rsidR="00AA714E" w:rsidRPr="009E2D66">
        <w:t xml:space="preserve">he scoping of future asset </w:t>
      </w:r>
      <w:r w:rsidR="00A817CB" w:rsidRPr="009E2D66">
        <w:t>recycling mea</w:t>
      </w:r>
      <w:r w:rsidR="00F65E63">
        <w:t>s</w:t>
      </w:r>
      <w:r w:rsidR="00A817CB" w:rsidRPr="009E2D66">
        <w:t xml:space="preserve">ures and using the Outcomes </w:t>
      </w:r>
      <w:r w:rsidR="00E81B66">
        <w:t>B</w:t>
      </w:r>
      <w:r w:rsidR="00A817CB" w:rsidRPr="009E2D66">
        <w:t xml:space="preserve">udgeting framework to drive efficiencies across </w:t>
      </w:r>
      <w:r w:rsidR="00CD26DE" w:rsidRPr="00C50351">
        <w:t>g</w:t>
      </w:r>
      <w:r w:rsidR="00A817CB" w:rsidRPr="009E2D66">
        <w:t>overnment expenditure</w:t>
      </w:r>
      <w:r w:rsidR="00287533" w:rsidRPr="009E2D66">
        <w:t xml:space="preserve"> </w:t>
      </w:r>
      <w:r w:rsidR="00C46369" w:rsidRPr="009E2D66">
        <w:t xml:space="preserve">allow the Government to invest in new services and infrastructure without further impacting long-term fiscal sustainability. </w:t>
      </w:r>
      <w:r w:rsidR="00E820CB" w:rsidRPr="009E2D66">
        <w:t xml:space="preserve">This shows that prudent budget management continues to be effective in limiting </w:t>
      </w:r>
      <w:r w:rsidR="00346F08">
        <w:t>such</w:t>
      </w:r>
      <w:r w:rsidR="00E820CB" w:rsidDel="00A817CB">
        <w:t xml:space="preserve"> </w:t>
      </w:r>
      <w:r w:rsidR="00A817CB" w:rsidRPr="009E2D66">
        <w:t xml:space="preserve">impacts on </w:t>
      </w:r>
      <w:r w:rsidR="00E820CB" w:rsidRPr="009E2D66">
        <w:t>future taxpayers.</w:t>
      </w:r>
      <w:r w:rsidR="00E820CB" w:rsidRPr="00E820CB">
        <w:t xml:space="preserve"> </w:t>
      </w:r>
    </w:p>
    <w:p w14:paraId="66CC12B9" w14:textId="6369F109" w:rsidR="00687584" w:rsidRPr="001E52B0" w:rsidRDefault="00AF5ADC" w:rsidP="001E52B0">
      <w:pPr>
        <w:pStyle w:val="BodyText"/>
      </w:pPr>
      <w:r>
        <w:t xml:space="preserve">With intergenerational challenges on </w:t>
      </w:r>
      <w:r w:rsidR="00294FE6">
        <w:t>the horizon</w:t>
      </w:r>
      <w:r>
        <w:t xml:space="preserve">, </w:t>
      </w:r>
      <w:r w:rsidR="00687584" w:rsidRPr="001E52B0">
        <w:t xml:space="preserve">the NGF is forecast to grow to </w:t>
      </w:r>
      <w:r w:rsidR="042D354F">
        <w:t>more than</w:t>
      </w:r>
      <w:r w:rsidR="00687584">
        <w:t xml:space="preserve"> $7</w:t>
      </w:r>
      <w:r w:rsidR="429517FE">
        <w:t>0</w:t>
      </w:r>
      <w:r w:rsidR="000B02F6">
        <w:t>.0</w:t>
      </w:r>
      <w:r w:rsidR="00687584" w:rsidRPr="001E52B0">
        <w:t xml:space="preserve"> billion </w:t>
      </w:r>
      <w:r w:rsidR="72767E4B">
        <w:t xml:space="preserve">over the </w:t>
      </w:r>
      <w:r w:rsidR="00FF728E">
        <w:t xml:space="preserve">next </w:t>
      </w:r>
      <w:r w:rsidR="72767E4B">
        <w:t>10 years</w:t>
      </w:r>
      <w:r w:rsidR="008C2090">
        <w:t xml:space="preserve"> </w:t>
      </w:r>
      <w:r w:rsidR="00687584" w:rsidRPr="001E52B0">
        <w:t>through</w:t>
      </w:r>
      <w:r w:rsidR="00687584" w:rsidRPr="001E52B0" w:rsidDel="00E853E1">
        <w:t xml:space="preserve"> </w:t>
      </w:r>
      <w:r w:rsidR="00687584" w:rsidRPr="001E52B0">
        <w:t xml:space="preserve">redirecting </w:t>
      </w:r>
      <w:r w:rsidR="00687584" w:rsidRPr="006C0AE0">
        <w:t xml:space="preserve">resource revenues (e.g. </w:t>
      </w:r>
      <w:r w:rsidR="00611D26" w:rsidRPr="006C0AE0">
        <w:t>mining</w:t>
      </w:r>
      <w:r w:rsidR="00687584" w:rsidRPr="006C0AE0">
        <w:t xml:space="preserve"> royalties</w:t>
      </w:r>
      <w:r w:rsidR="31AFF976" w:rsidRPr="006C0AE0">
        <w:t>)</w:t>
      </w:r>
      <w:r w:rsidR="00687584" w:rsidRPr="006C0AE0">
        <w:t xml:space="preserve"> and </w:t>
      </w:r>
      <w:r w:rsidR="00475A15" w:rsidRPr="006C0AE0">
        <w:t>SOC</w:t>
      </w:r>
      <w:r w:rsidR="00687584" w:rsidRPr="006C0AE0">
        <w:t xml:space="preserve"> dividends into the NGF</w:t>
      </w:r>
      <w:r w:rsidR="000C648A" w:rsidRPr="006C0AE0">
        <w:t xml:space="preserve">. </w:t>
      </w:r>
      <w:r w:rsidR="00E853E1" w:rsidRPr="006C0AE0">
        <w:t xml:space="preserve">Future asset sales (e.g. the sale of the residual </w:t>
      </w:r>
      <w:r w:rsidR="00611D26" w:rsidRPr="006C0AE0">
        <w:t>49</w:t>
      </w:r>
      <w:r w:rsidR="00316999">
        <w:t> </w:t>
      </w:r>
      <w:r w:rsidR="00B602BF">
        <w:t>per cent</w:t>
      </w:r>
      <w:r w:rsidR="00611D26" w:rsidRPr="006C0AE0">
        <w:t xml:space="preserve"> stake</w:t>
      </w:r>
      <w:r w:rsidR="00E853E1" w:rsidRPr="006C0AE0">
        <w:t xml:space="preserve"> in WestConnex) will further increase the NGF balance</w:t>
      </w:r>
      <w:r w:rsidR="004D6182" w:rsidRPr="006C0AE0">
        <w:t xml:space="preserve">. </w:t>
      </w:r>
      <w:r w:rsidR="000C648A" w:rsidRPr="006C0AE0">
        <w:t>The</w:t>
      </w:r>
      <w:r w:rsidR="00687584" w:rsidRPr="006C0AE0">
        <w:t xml:space="preserve"> </w:t>
      </w:r>
      <w:r w:rsidR="00475A15" w:rsidRPr="006C0AE0">
        <w:t>G</w:t>
      </w:r>
      <w:r w:rsidR="00687584" w:rsidRPr="006C0AE0">
        <w:t xml:space="preserve">overnment aims </w:t>
      </w:r>
      <w:r w:rsidR="00FB07D2">
        <w:t xml:space="preserve">at </w:t>
      </w:r>
      <w:r w:rsidR="006C0AE0" w:rsidRPr="00C50351">
        <w:t>rebuilding balance sheet capacity by bringing net debt down towards 7 per cent of GSP over the medium term</w:t>
      </w:r>
      <w:r w:rsidR="00687584" w:rsidRPr="006C0AE0">
        <w:t xml:space="preserve"> and make the NGF a truly inter-generational </w:t>
      </w:r>
      <w:r w:rsidR="00CD7965" w:rsidRPr="006C0AE0">
        <w:t>fund</w:t>
      </w:r>
      <w:r w:rsidR="00687584" w:rsidRPr="006C0AE0">
        <w:t>.</w:t>
      </w:r>
    </w:p>
    <w:p w14:paraId="00A8FCBD" w14:textId="3ABB83AD" w:rsidR="00664CF4" w:rsidRPr="002B1C72" w:rsidRDefault="008D26B4">
      <w:pPr>
        <w:pStyle w:val="BodyText"/>
      </w:pPr>
      <w:r>
        <w:t>Th</w:t>
      </w:r>
      <w:bookmarkStart w:id="0" w:name="_GoBack"/>
      <w:bookmarkEnd w:id="0"/>
      <w:r>
        <w:t>e next iteration of the intergenerational report will be published at the 202</w:t>
      </w:r>
      <w:r w:rsidR="00952513">
        <w:t>1</w:t>
      </w:r>
      <w:r>
        <w:t>-2</w:t>
      </w:r>
      <w:r w:rsidR="00952513">
        <w:t>2</w:t>
      </w:r>
      <w:r>
        <w:t xml:space="preserve"> Budget.</w:t>
      </w:r>
    </w:p>
    <w:sectPr w:rsidR="00664CF4" w:rsidRPr="002B1C72" w:rsidSect="001A6E6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116D" w14:textId="77777777" w:rsidR="001B6F4E" w:rsidRDefault="001B6F4E" w:rsidP="0053757D">
      <w:r>
        <w:separator/>
      </w:r>
    </w:p>
  </w:endnote>
  <w:endnote w:type="continuationSeparator" w:id="0">
    <w:p w14:paraId="05CE330A" w14:textId="77777777" w:rsidR="001B6F4E" w:rsidRDefault="001B6F4E" w:rsidP="0053757D">
      <w:r>
        <w:continuationSeparator/>
      </w:r>
    </w:p>
  </w:endnote>
  <w:endnote w:type="continuationNotice" w:id="1">
    <w:p w14:paraId="62ABF217" w14:textId="77777777" w:rsidR="001B6F4E" w:rsidRDefault="001B6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Gothic BT">
    <w:altName w:val="Arial Narrow"/>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38B7" w14:textId="16CEEF5F" w:rsidR="002E3224" w:rsidRPr="00C50351" w:rsidRDefault="001E659E" w:rsidP="00C50351">
    <w:pPr>
      <w:pStyle w:val="Footer"/>
      <w:tabs>
        <w:tab w:val="clear" w:pos="9072"/>
        <w:tab w:val="right" w:pos="9638"/>
      </w:tabs>
      <w:rPr>
        <w:rFonts w:ascii="Arial" w:hAnsi="Arial" w:cs="Arial"/>
        <w:szCs w:val="18"/>
      </w:rPr>
    </w:pPr>
    <w:r>
      <w:rPr>
        <w:rFonts w:ascii="Arial" w:hAnsi="Arial" w:cs="Arial"/>
        <w:szCs w:val="16"/>
      </w:rPr>
      <w:t>E</w:t>
    </w:r>
    <w:r w:rsidRPr="00C34942">
      <w:rPr>
        <w:rFonts w:ascii="Arial" w:hAnsi="Arial" w:cs="Arial"/>
        <w:szCs w:val="16"/>
      </w:rPr>
      <w:t xml:space="preserve"> </w:t>
    </w:r>
    <w:r w:rsidR="00F2152B" w:rsidRPr="00C34942">
      <w:rPr>
        <w:rFonts w:ascii="Arial" w:hAnsi="Arial" w:cs="Arial"/>
        <w:szCs w:val="16"/>
      </w:rPr>
      <w:t xml:space="preserve">- </w:t>
    </w:r>
    <w:r w:rsidR="00F2152B" w:rsidRPr="00C34942">
      <w:rPr>
        <w:rFonts w:ascii="Arial" w:hAnsi="Arial" w:cs="Arial"/>
        <w:szCs w:val="16"/>
      </w:rPr>
      <w:fldChar w:fldCharType="begin"/>
    </w:r>
    <w:r w:rsidR="00F2152B" w:rsidRPr="00C34942">
      <w:rPr>
        <w:rFonts w:ascii="Arial" w:hAnsi="Arial" w:cs="Arial"/>
        <w:szCs w:val="16"/>
      </w:rPr>
      <w:instrText xml:space="preserve"> PAGE  \* MERGEFORMAT </w:instrText>
    </w:r>
    <w:r w:rsidR="00F2152B" w:rsidRPr="00C34942">
      <w:rPr>
        <w:rFonts w:ascii="Arial" w:hAnsi="Arial" w:cs="Arial"/>
        <w:szCs w:val="16"/>
      </w:rPr>
      <w:fldChar w:fldCharType="separate"/>
    </w:r>
    <w:r w:rsidR="00017CB0">
      <w:rPr>
        <w:rFonts w:ascii="Arial" w:hAnsi="Arial" w:cs="Arial"/>
        <w:noProof/>
        <w:szCs w:val="16"/>
      </w:rPr>
      <w:t>2</w:t>
    </w:r>
    <w:r w:rsidR="00F2152B" w:rsidRPr="00C34942">
      <w:rPr>
        <w:rFonts w:ascii="Arial" w:hAnsi="Arial" w:cs="Arial"/>
        <w:szCs w:val="16"/>
      </w:rPr>
      <w:fldChar w:fldCharType="end"/>
    </w:r>
    <w:r w:rsidR="00F2152B">
      <w:tab/>
    </w:r>
    <w:r w:rsidR="00181A01">
      <w:rPr>
        <w:rFonts w:ascii="Arial" w:hAnsi="Arial" w:cs="Arial"/>
        <w:szCs w:val="16"/>
      </w:rPr>
      <w:t xml:space="preserve">Budget Statement </w:t>
    </w:r>
    <w:r w:rsidR="004E5EEB">
      <w:rPr>
        <w:rFonts w:ascii="Arial" w:hAnsi="Arial" w:cs="Arial"/>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3DCB" w14:textId="1D76CE3B" w:rsidR="002E3224" w:rsidRPr="00C50351" w:rsidRDefault="00181A01" w:rsidP="00C50351">
    <w:pPr>
      <w:pStyle w:val="Footer"/>
      <w:tabs>
        <w:tab w:val="clear" w:pos="9072"/>
        <w:tab w:val="right" w:pos="9638"/>
      </w:tabs>
      <w:rPr>
        <w:rFonts w:ascii="Arial" w:hAnsi="Arial" w:cs="Arial"/>
        <w:szCs w:val="16"/>
      </w:rPr>
    </w:pPr>
    <w:r>
      <w:rPr>
        <w:rFonts w:ascii="Arial" w:hAnsi="Arial" w:cs="Arial"/>
        <w:szCs w:val="16"/>
      </w:rPr>
      <w:t xml:space="preserve">Budget Statement </w:t>
    </w:r>
    <w:r w:rsidR="004E5EEB">
      <w:rPr>
        <w:rFonts w:ascii="Arial" w:hAnsi="Arial" w:cs="Arial"/>
        <w:szCs w:val="18"/>
      </w:rPr>
      <w:t>2020-21</w:t>
    </w:r>
    <w:r w:rsidR="00F2152B">
      <w:rPr>
        <w:rFonts w:ascii="Arial" w:hAnsi="Arial" w:cs="Arial"/>
        <w:szCs w:val="16"/>
      </w:rPr>
      <w:tab/>
    </w:r>
    <w:r w:rsidR="001E659E">
      <w:rPr>
        <w:rFonts w:ascii="Arial" w:hAnsi="Arial" w:cs="Arial"/>
        <w:szCs w:val="16"/>
      </w:rPr>
      <w:t>E</w:t>
    </w:r>
    <w:r w:rsidR="001E659E" w:rsidRPr="00C34942">
      <w:rPr>
        <w:rFonts w:ascii="Arial" w:hAnsi="Arial" w:cs="Arial"/>
        <w:szCs w:val="16"/>
      </w:rPr>
      <w:t xml:space="preserve"> </w:t>
    </w:r>
    <w:r w:rsidR="00F2152B" w:rsidRPr="00C34942">
      <w:rPr>
        <w:rFonts w:ascii="Arial" w:hAnsi="Arial" w:cs="Arial"/>
        <w:szCs w:val="16"/>
      </w:rPr>
      <w:t xml:space="preserve">- </w:t>
    </w:r>
    <w:r w:rsidR="00F2152B" w:rsidRPr="00C34942">
      <w:rPr>
        <w:rFonts w:ascii="Arial" w:hAnsi="Arial" w:cs="Arial"/>
        <w:szCs w:val="16"/>
      </w:rPr>
      <w:fldChar w:fldCharType="begin"/>
    </w:r>
    <w:r w:rsidR="00F2152B" w:rsidRPr="00C34942">
      <w:rPr>
        <w:rFonts w:ascii="Arial" w:hAnsi="Arial" w:cs="Arial"/>
        <w:szCs w:val="16"/>
      </w:rPr>
      <w:instrText xml:space="preserve"> PAGE  \* MERGEFORMAT </w:instrText>
    </w:r>
    <w:r w:rsidR="00F2152B" w:rsidRPr="00C34942">
      <w:rPr>
        <w:rFonts w:ascii="Arial" w:hAnsi="Arial" w:cs="Arial"/>
        <w:szCs w:val="16"/>
      </w:rPr>
      <w:fldChar w:fldCharType="separate"/>
    </w:r>
    <w:r w:rsidR="00017CB0">
      <w:rPr>
        <w:rFonts w:ascii="Arial" w:hAnsi="Arial" w:cs="Arial"/>
        <w:noProof/>
        <w:szCs w:val="16"/>
      </w:rPr>
      <w:t>3</w:t>
    </w:r>
    <w:r w:rsidR="00F2152B" w:rsidRPr="00C34942">
      <w:rPr>
        <w:rFonts w:ascii="Arial" w:hAnsi="Arial"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B22A" w14:textId="5AFB5B43" w:rsidR="002E3224" w:rsidRDefault="00C0190A" w:rsidP="00C50351">
    <w:pPr>
      <w:pStyle w:val="Footer"/>
      <w:tabs>
        <w:tab w:val="clear" w:pos="9072"/>
        <w:tab w:val="right" w:pos="9639"/>
      </w:tabs>
    </w:pPr>
    <w:r>
      <w:rPr>
        <w:rFonts w:ascii="Arial" w:hAnsi="Arial" w:cs="Arial"/>
        <w:szCs w:val="16"/>
      </w:rPr>
      <w:t xml:space="preserve">Budget Statement </w:t>
    </w:r>
    <w:r w:rsidR="004E5EEB">
      <w:rPr>
        <w:rFonts w:ascii="Arial" w:hAnsi="Arial" w:cs="Arial"/>
        <w:szCs w:val="18"/>
      </w:rPr>
      <w:t>2020-21</w:t>
    </w:r>
    <w:r w:rsidR="00C34942" w:rsidRPr="00C34942">
      <w:rPr>
        <w:rFonts w:ascii="Arial" w:hAnsi="Arial" w:cs="Arial"/>
        <w:szCs w:val="16"/>
      </w:rPr>
      <w:tab/>
    </w:r>
    <w:r w:rsidR="001E659E">
      <w:rPr>
        <w:rFonts w:ascii="Arial" w:hAnsi="Arial" w:cs="Arial"/>
        <w:szCs w:val="16"/>
      </w:rPr>
      <w:t>E</w:t>
    </w:r>
    <w:r w:rsidR="001E659E" w:rsidRPr="00C34942">
      <w:rPr>
        <w:rFonts w:ascii="Arial" w:hAnsi="Arial" w:cs="Arial"/>
        <w:szCs w:val="16"/>
      </w:rPr>
      <w:t xml:space="preserve"> </w:t>
    </w:r>
    <w:r w:rsidR="00F2152B" w:rsidRPr="00C34942">
      <w:rPr>
        <w:rFonts w:ascii="Arial" w:hAnsi="Arial" w:cs="Arial"/>
        <w:szCs w:val="16"/>
      </w:rPr>
      <w:t xml:space="preserve">- </w:t>
    </w:r>
    <w:r w:rsidR="00F2152B" w:rsidRPr="00C34942">
      <w:rPr>
        <w:rFonts w:ascii="Arial" w:hAnsi="Arial" w:cs="Arial"/>
        <w:szCs w:val="16"/>
      </w:rPr>
      <w:fldChar w:fldCharType="begin"/>
    </w:r>
    <w:r w:rsidR="00F2152B" w:rsidRPr="00C34942">
      <w:rPr>
        <w:rFonts w:ascii="Arial" w:hAnsi="Arial" w:cs="Arial"/>
        <w:szCs w:val="16"/>
      </w:rPr>
      <w:instrText xml:space="preserve"> PAGE  \* MERGEFORMAT </w:instrText>
    </w:r>
    <w:r w:rsidR="00F2152B" w:rsidRPr="00C34942">
      <w:rPr>
        <w:rFonts w:ascii="Arial" w:hAnsi="Arial" w:cs="Arial"/>
        <w:szCs w:val="16"/>
      </w:rPr>
      <w:fldChar w:fldCharType="separate"/>
    </w:r>
    <w:r w:rsidR="00017CB0">
      <w:rPr>
        <w:rFonts w:ascii="Arial" w:hAnsi="Arial" w:cs="Arial"/>
        <w:noProof/>
        <w:szCs w:val="16"/>
      </w:rPr>
      <w:t>1</w:t>
    </w:r>
    <w:r w:rsidR="00F2152B" w:rsidRPr="00C34942">
      <w:rP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8806" w14:textId="77777777" w:rsidR="001B6F4E" w:rsidRDefault="001B6F4E" w:rsidP="0053757D">
      <w:r>
        <w:separator/>
      </w:r>
    </w:p>
  </w:footnote>
  <w:footnote w:type="continuationSeparator" w:id="0">
    <w:p w14:paraId="02D998FA" w14:textId="77777777" w:rsidR="001B6F4E" w:rsidRDefault="001B6F4E" w:rsidP="0053757D">
      <w:r>
        <w:continuationSeparator/>
      </w:r>
    </w:p>
  </w:footnote>
  <w:footnote w:type="continuationNotice" w:id="1">
    <w:p w14:paraId="36142C83" w14:textId="77777777" w:rsidR="001B6F4E" w:rsidRDefault="001B6F4E"/>
  </w:footnote>
  <w:footnote w:id="2">
    <w:p w14:paraId="2AFA9391" w14:textId="7FF3228C" w:rsidR="00AF4F65" w:rsidRPr="003B6372" w:rsidRDefault="00AF4F65" w:rsidP="003321D8">
      <w:pPr>
        <w:autoSpaceDE w:val="0"/>
        <w:autoSpaceDN w:val="0"/>
        <w:adjustRightInd w:val="0"/>
        <w:ind w:left="709" w:hanging="283"/>
        <w:rPr>
          <w:rFonts w:ascii="Arial" w:hAnsi="Arial"/>
          <w:sz w:val="17"/>
          <w:szCs w:val="17"/>
          <w:lang w:val="en-AU"/>
        </w:rPr>
      </w:pPr>
      <w:r w:rsidRPr="00AF4F65">
        <w:rPr>
          <w:rStyle w:val="FootnoteReference"/>
          <w:sz w:val="16"/>
          <w:szCs w:val="16"/>
        </w:rPr>
        <w:footnoteRef/>
      </w:r>
      <w:r w:rsidRPr="00AF4F65">
        <w:rPr>
          <w:sz w:val="16"/>
          <w:szCs w:val="16"/>
        </w:rPr>
        <w:t xml:space="preserve"> </w:t>
      </w:r>
      <w:r w:rsidR="007725CF">
        <w:rPr>
          <w:sz w:val="16"/>
          <w:szCs w:val="16"/>
        </w:rPr>
        <w:tab/>
      </w:r>
      <w:r w:rsidRPr="003B6372">
        <w:rPr>
          <w:rFonts w:ascii="Arial" w:hAnsi="Arial"/>
          <w:sz w:val="17"/>
          <w:szCs w:val="17"/>
          <w:lang w:val="en-AU"/>
        </w:rPr>
        <w:t xml:space="preserve">The fiscal gap is </w:t>
      </w:r>
      <w:r w:rsidR="009634F2" w:rsidRPr="003B6372">
        <w:rPr>
          <w:rFonts w:ascii="Arial" w:hAnsi="Arial"/>
          <w:sz w:val="17"/>
          <w:szCs w:val="17"/>
          <w:lang w:val="en-AU"/>
        </w:rPr>
        <w:t xml:space="preserve">calculated for the general government sector and is the </w:t>
      </w:r>
      <w:r w:rsidRPr="003B6372">
        <w:rPr>
          <w:rFonts w:ascii="Arial" w:hAnsi="Arial"/>
          <w:sz w:val="17"/>
          <w:szCs w:val="17"/>
          <w:lang w:val="en-AU"/>
        </w:rPr>
        <w:t xml:space="preserve">difference between the base period primary balance as a share of GSP and the primary balance as a share of GSP at the end of the projection period, on a </w:t>
      </w:r>
      <w:r w:rsidR="007A4E95" w:rsidRPr="003B6372">
        <w:rPr>
          <w:rFonts w:ascii="Arial" w:hAnsi="Arial"/>
          <w:sz w:val="17"/>
          <w:szCs w:val="17"/>
          <w:lang w:val="en-AU"/>
        </w:rPr>
        <w:t>‘</w:t>
      </w:r>
      <w:r w:rsidRPr="003B6372">
        <w:rPr>
          <w:rFonts w:ascii="Arial" w:hAnsi="Arial"/>
          <w:sz w:val="17"/>
          <w:szCs w:val="17"/>
          <w:lang w:val="en-AU"/>
        </w:rPr>
        <w:t>no policy change</w:t>
      </w:r>
      <w:r w:rsidR="007A4E95" w:rsidRPr="003B6372">
        <w:rPr>
          <w:rFonts w:ascii="Arial" w:hAnsi="Arial"/>
          <w:sz w:val="17"/>
          <w:szCs w:val="17"/>
          <w:lang w:val="en-AU"/>
        </w:rPr>
        <w:t>’</w:t>
      </w:r>
      <w:r w:rsidRPr="003B6372">
        <w:rPr>
          <w:rFonts w:ascii="Arial" w:hAnsi="Arial"/>
          <w:sz w:val="17"/>
          <w:szCs w:val="17"/>
          <w:lang w:val="en-AU"/>
        </w:rPr>
        <w:t xml:space="preserve"> basis. The primary balance is the gap between spending and revenue </w:t>
      </w:r>
      <w:r w:rsidR="00D42066" w:rsidRPr="003B6372">
        <w:rPr>
          <w:rFonts w:ascii="Arial" w:hAnsi="Arial"/>
          <w:sz w:val="17"/>
          <w:szCs w:val="17"/>
          <w:lang w:val="en-AU"/>
        </w:rPr>
        <w:t>(</w:t>
      </w:r>
      <w:r w:rsidR="000F4B72" w:rsidRPr="003B6372">
        <w:rPr>
          <w:rFonts w:ascii="Arial" w:hAnsi="Arial"/>
          <w:sz w:val="17"/>
          <w:szCs w:val="17"/>
          <w:lang w:val="en-AU"/>
        </w:rPr>
        <w:t xml:space="preserve">it </w:t>
      </w:r>
      <w:r w:rsidRPr="003B6372">
        <w:rPr>
          <w:rFonts w:ascii="Arial" w:hAnsi="Arial"/>
          <w:sz w:val="17"/>
          <w:szCs w:val="17"/>
          <w:lang w:val="en-AU"/>
        </w:rPr>
        <w:t>exclud</w:t>
      </w:r>
      <w:r w:rsidR="000F4B72" w:rsidRPr="003B6372">
        <w:rPr>
          <w:rFonts w:ascii="Arial" w:hAnsi="Arial"/>
          <w:sz w:val="17"/>
          <w:szCs w:val="17"/>
          <w:lang w:val="en-AU"/>
        </w:rPr>
        <w:t>es</w:t>
      </w:r>
      <w:r w:rsidRPr="003B6372">
        <w:rPr>
          <w:rFonts w:ascii="Arial" w:hAnsi="Arial"/>
          <w:sz w:val="17"/>
          <w:szCs w:val="17"/>
          <w:lang w:val="en-AU"/>
        </w:rPr>
        <w:t xml:space="preserve"> interest transactions </w:t>
      </w:r>
      <w:r w:rsidR="000F4B72" w:rsidRPr="003B6372">
        <w:rPr>
          <w:rFonts w:ascii="Arial" w:hAnsi="Arial"/>
          <w:sz w:val="17"/>
          <w:szCs w:val="17"/>
          <w:lang w:val="en-AU"/>
        </w:rPr>
        <w:t xml:space="preserve">and </w:t>
      </w:r>
      <w:r w:rsidRPr="003B6372">
        <w:rPr>
          <w:rFonts w:ascii="Arial" w:hAnsi="Arial"/>
          <w:sz w:val="17"/>
          <w:szCs w:val="17"/>
          <w:lang w:val="en-AU"/>
        </w:rPr>
        <w:t>includ</w:t>
      </w:r>
      <w:r w:rsidR="000F4B72" w:rsidRPr="003B6372">
        <w:rPr>
          <w:rFonts w:ascii="Arial" w:hAnsi="Arial"/>
          <w:sz w:val="17"/>
          <w:szCs w:val="17"/>
          <w:lang w:val="en-AU"/>
        </w:rPr>
        <w:t>es</w:t>
      </w:r>
      <w:r w:rsidRPr="003B6372">
        <w:rPr>
          <w:rFonts w:ascii="Arial" w:hAnsi="Arial"/>
          <w:sz w:val="17"/>
          <w:szCs w:val="17"/>
          <w:lang w:val="en-AU"/>
        </w:rPr>
        <w:t xml:space="preserve"> net capital expenditure</w:t>
      </w:r>
      <w:r w:rsidR="003C5DB9" w:rsidRPr="003B6372">
        <w:rPr>
          <w:rFonts w:ascii="Arial" w:hAnsi="Arial"/>
          <w:sz w:val="17"/>
          <w:szCs w:val="17"/>
          <w:lang w:val="en-AU"/>
        </w:rPr>
        <w:t>)</w:t>
      </w:r>
      <w:r w:rsidRPr="003B6372">
        <w:rPr>
          <w:rFonts w:ascii="Arial" w:hAnsi="Arial"/>
          <w:sz w:val="17"/>
          <w:szCs w:val="17"/>
          <w:lang w:val="en-AU"/>
        </w:rPr>
        <w:t>. A positive gap implies that fiscal pressures will build over the projection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71C1" w14:textId="485EE9D3" w:rsidR="00181A01" w:rsidRPr="00C34942" w:rsidRDefault="00181A01" w:rsidP="00181A01">
    <w:pPr>
      <w:pStyle w:val="Header"/>
      <w:pBdr>
        <w:bottom w:val="single" w:sz="4" w:space="4" w:color="auto"/>
      </w:pBdr>
      <w:tabs>
        <w:tab w:val="clear" w:pos="4153"/>
        <w:tab w:val="clear" w:pos="8306"/>
        <w:tab w:val="center" w:pos="4513"/>
        <w:tab w:val="right" w:pos="9026"/>
      </w:tabs>
      <w:spacing w:line="240" w:lineRule="auto"/>
      <w:rPr>
        <w:rFonts w:ascii="Arial" w:eastAsiaTheme="minorHAnsi" w:hAnsi="Arial" w:cs="Arial"/>
        <w:sz w:val="18"/>
        <w:szCs w:val="18"/>
        <w:lang w:val="en-AU"/>
      </w:rPr>
    </w:pPr>
    <w:r w:rsidRPr="00C34942">
      <w:rPr>
        <w:rFonts w:ascii="Arial" w:eastAsiaTheme="minorHAnsi" w:hAnsi="Arial" w:cs="Arial"/>
        <w:sz w:val="18"/>
        <w:szCs w:val="18"/>
        <w:lang w:val="en-AU"/>
      </w:rPr>
      <w:t>Performance and Reporting Under the Fiscal Responsibility Act</w:t>
    </w:r>
    <w:r w:rsidR="00DA0BC7">
      <w:rPr>
        <w:rFonts w:ascii="Arial" w:eastAsiaTheme="minorHAnsi" w:hAnsi="Arial" w:cs="Arial"/>
        <w:sz w:val="18"/>
        <w:szCs w:val="18"/>
        <w:lang w:val="en-AU"/>
      </w:rPr>
      <w:t xml:space="preserve">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BAF5" w14:textId="031D1D71" w:rsidR="00F2152B" w:rsidRPr="00C34942" w:rsidRDefault="00F2152B" w:rsidP="00340BD1">
    <w:pPr>
      <w:pStyle w:val="Header"/>
      <w:pBdr>
        <w:bottom w:val="single" w:sz="4" w:space="4" w:color="auto"/>
      </w:pBdr>
      <w:tabs>
        <w:tab w:val="clear" w:pos="4153"/>
        <w:tab w:val="clear" w:pos="8306"/>
        <w:tab w:val="center" w:pos="4111"/>
        <w:tab w:val="right" w:pos="9026"/>
      </w:tabs>
      <w:spacing w:line="240" w:lineRule="auto"/>
      <w:rPr>
        <w:rFonts w:ascii="Arial" w:eastAsiaTheme="minorHAnsi" w:hAnsi="Arial" w:cs="Arial"/>
        <w:sz w:val="18"/>
        <w:szCs w:val="18"/>
        <w:lang w:val="en-AU"/>
      </w:rPr>
    </w:pPr>
    <w:r>
      <w:rPr>
        <w:rFonts w:ascii="Arial" w:eastAsiaTheme="minorHAnsi" w:hAnsi="Arial" w:cs="Arial"/>
        <w:sz w:val="18"/>
        <w:szCs w:val="18"/>
        <w:lang w:val="en-AU"/>
      </w:rPr>
      <w:tab/>
    </w:r>
    <w:r>
      <w:rPr>
        <w:rFonts w:ascii="Arial" w:eastAsiaTheme="minorHAnsi" w:hAnsi="Arial" w:cs="Arial"/>
        <w:sz w:val="18"/>
        <w:szCs w:val="18"/>
        <w:lang w:val="en-AU"/>
      </w:rPr>
      <w:tab/>
    </w:r>
    <w:r w:rsidRPr="00C34942">
      <w:rPr>
        <w:rFonts w:ascii="Arial" w:eastAsiaTheme="minorHAnsi" w:hAnsi="Arial" w:cs="Arial"/>
        <w:sz w:val="18"/>
        <w:szCs w:val="18"/>
        <w:lang w:val="en-AU"/>
      </w:rPr>
      <w:t>Performance and Reporting Under the Fiscal Responsibility Act</w:t>
    </w:r>
    <w:r w:rsidR="00DA0BC7">
      <w:rPr>
        <w:rFonts w:ascii="Arial" w:eastAsiaTheme="minorHAnsi" w:hAnsi="Arial" w:cs="Arial"/>
        <w:sz w:val="18"/>
        <w:szCs w:val="18"/>
        <w:lang w:val="en-AU"/>
      </w:rPr>
      <w:t xml:space="preserve"> 2012</w:t>
    </w:r>
  </w:p>
  <w:p w14:paraId="7CEA4328" w14:textId="300C6E8B" w:rsidR="00181A01" w:rsidRPr="00C34942" w:rsidRDefault="00181A01" w:rsidP="00135079">
    <w:pPr>
      <w:pStyle w:val="Header"/>
      <w:tabs>
        <w:tab w:val="clear" w:pos="4153"/>
        <w:tab w:val="clear" w:pos="8306"/>
        <w:tab w:val="center" w:pos="4513"/>
        <w:tab w:val="right" w:pos="9026"/>
      </w:tabs>
      <w:spacing w:line="240" w:lineRule="auto"/>
      <w:jc w:val="right"/>
      <w:rPr>
        <w:rFonts w:ascii="Arial" w:eastAsiaTheme="minorHAnsi" w:hAnsi="Arial" w:cs="Arial"/>
        <w:sz w:val="18"/>
        <w:szCs w:val="1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A546" w14:textId="12FCF3BB" w:rsidR="00DD408A" w:rsidRPr="00181A01" w:rsidRDefault="00DD408A" w:rsidP="00181A01">
    <w:pPr>
      <w:pStyle w:val="Header"/>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082EFF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AA74D4D0"/>
    <w:lvl w:ilvl="0" w:tplc="3272B5E6">
      <w:start w:val="1"/>
      <w:numFmt w:val="bullet"/>
      <w:pStyle w:val="NormalWeb"/>
      <w:lvlText w:val=""/>
      <w:lvlJc w:val="left"/>
      <w:pPr>
        <w:tabs>
          <w:tab w:val="num" w:pos="643"/>
        </w:tabs>
        <w:ind w:left="643" w:hanging="360"/>
      </w:pPr>
      <w:rPr>
        <w:rFonts w:ascii="Symbol" w:hAnsi="Symbol" w:hint="default"/>
      </w:rPr>
    </w:lvl>
    <w:lvl w:ilvl="1" w:tplc="C1182FE0">
      <w:numFmt w:val="decimal"/>
      <w:lvlText w:val=""/>
      <w:lvlJc w:val="left"/>
    </w:lvl>
    <w:lvl w:ilvl="2" w:tplc="F062906E">
      <w:numFmt w:val="decimal"/>
      <w:lvlText w:val=""/>
      <w:lvlJc w:val="left"/>
    </w:lvl>
    <w:lvl w:ilvl="3" w:tplc="47F61864">
      <w:numFmt w:val="decimal"/>
      <w:lvlText w:val=""/>
      <w:lvlJc w:val="left"/>
    </w:lvl>
    <w:lvl w:ilvl="4" w:tplc="03BA5DBA">
      <w:numFmt w:val="decimal"/>
      <w:lvlText w:val=""/>
      <w:lvlJc w:val="left"/>
    </w:lvl>
    <w:lvl w:ilvl="5" w:tplc="2A5A08CE">
      <w:numFmt w:val="decimal"/>
      <w:lvlText w:val=""/>
      <w:lvlJc w:val="left"/>
    </w:lvl>
    <w:lvl w:ilvl="6" w:tplc="260E501E">
      <w:numFmt w:val="decimal"/>
      <w:lvlText w:val=""/>
      <w:lvlJc w:val="left"/>
    </w:lvl>
    <w:lvl w:ilvl="7" w:tplc="E5E4E708">
      <w:numFmt w:val="decimal"/>
      <w:lvlText w:val=""/>
      <w:lvlJc w:val="left"/>
    </w:lvl>
    <w:lvl w:ilvl="8" w:tplc="E47646A0">
      <w:numFmt w:val="decimal"/>
      <w:lvlText w:val=""/>
      <w:lvlJc w:val="left"/>
    </w:lvl>
  </w:abstractNum>
  <w:abstractNum w:abstractNumId="2" w15:restartNumberingAfterBreak="0">
    <w:nsid w:val="FFFFFF88"/>
    <w:multiLevelType w:val="hybridMultilevel"/>
    <w:tmpl w:val="707A54F6"/>
    <w:lvl w:ilvl="0" w:tplc="2A3A6DDE">
      <w:start w:val="1"/>
      <w:numFmt w:val="decimal"/>
      <w:pStyle w:val="ListNumber"/>
      <w:lvlText w:val="%1."/>
      <w:lvlJc w:val="left"/>
      <w:pPr>
        <w:tabs>
          <w:tab w:val="num" w:pos="360"/>
        </w:tabs>
        <w:ind w:left="360" w:hanging="360"/>
      </w:pPr>
    </w:lvl>
    <w:lvl w:ilvl="1" w:tplc="5A24982A">
      <w:numFmt w:val="decimal"/>
      <w:lvlText w:val=""/>
      <w:lvlJc w:val="left"/>
    </w:lvl>
    <w:lvl w:ilvl="2" w:tplc="293AE86C">
      <w:numFmt w:val="decimal"/>
      <w:lvlText w:val=""/>
      <w:lvlJc w:val="left"/>
    </w:lvl>
    <w:lvl w:ilvl="3" w:tplc="F63C2392">
      <w:numFmt w:val="decimal"/>
      <w:lvlText w:val=""/>
      <w:lvlJc w:val="left"/>
    </w:lvl>
    <w:lvl w:ilvl="4" w:tplc="E6FACC58">
      <w:numFmt w:val="decimal"/>
      <w:lvlText w:val=""/>
      <w:lvlJc w:val="left"/>
    </w:lvl>
    <w:lvl w:ilvl="5" w:tplc="00D444BA">
      <w:numFmt w:val="decimal"/>
      <w:lvlText w:val=""/>
      <w:lvlJc w:val="left"/>
    </w:lvl>
    <w:lvl w:ilvl="6" w:tplc="FE0E1A06">
      <w:numFmt w:val="decimal"/>
      <w:lvlText w:val=""/>
      <w:lvlJc w:val="left"/>
    </w:lvl>
    <w:lvl w:ilvl="7" w:tplc="BDEA46D6">
      <w:numFmt w:val="decimal"/>
      <w:lvlText w:val=""/>
      <w:lvlJc w:val="left"/>
    </w:lvl>
    <w:lvl w:ilvl="8" w:tplc="17267E5A">
      <w:numFmt w:val="decimal"/>
      <w:lvlText w:val=""/>
      <w:lvlJc w:val="left"/>
    </w:lvl>
  </w:abstractNum>
  <w:abstractNum w:abstractNumId="3" w15:restartNumberingAfterBreak="0">
    <w:nsid w:val="05DE5882"/>
    <w:multiLevelType w:val="hybridMultilevel"/>
    <w:tmpl w:val="022A7A84"/>
    <w:lvl w:ilvl="0" w:tplc="7D523422">
      <w:start w:val="1"/>
      <w:numFmt w:val="bullet"/>
      <w:pStyle w:val="Bullet3"/>
      <w:lvlText w:val=""/>
      <w:lvlJc w:val="left"/>
      <w:pPr>
        <w:tabs>
          <w:tab w:val="num" w:pos="1276"/>
        </w:tabs>
        <w:ind w:left="1276" w:hanging="425"/>
      </w:pPr>
      <w:rPr>
        <w:rFonts w:ascii="Symbol" w:hAnsi="Symbol" w:hint="default"/>
        <w:sz w:val="22"/>
      </w:rPr>
    </w:lvl>
    <w:lvl w:ilvl="1" w:tplc="6C6CF778">
      <w:numFmt w:val="decimal"/>
      <w:lvlText w:val=""/>
      <w:lvlJc w:val="left"/>
    </w:lvl>
    <w:lvl w:ilvl="2" w:tplc="7602B16A">
      <w:numFmt w:val="decimal"/>
      <w:lvlText w:val=""/>
      <w:lvlJc w:val="left"/>
    </w:lvl>
    <w:lvl w:ilvl="3" w:tplc="D5584A12">
      <w:numFmt w:val="decimal"/>
      <w:lvlText w:val=""/>
      <w:lvlJc w:val="left"/>
    </w:lvl>
    <w:lvl w:ilvl="4" w:tplc="E5F0D212">
      <w:numFmt w:val="decimal"/>
      <w:lvlText w:val=""/>
      <w:lvlJc w:val="left"/>
    </w:lvl>
    <w:lvl w:ilvl="5" w:tplc="7FC8BB68">
      <w:numFmt w:val="decimal"/>
      <w:lvlText w:val=""/>
      <w:lvlJc w:val="left"/>
    </w:lvl>
    <w:lvl w:ilvl="6" w:tplc="0840BE00">
      <w:numFmt w:val="decimal"/>
      <w:lvlText w:val=""/>
      <w:lvlJc w:val="left"/>
    </w:lvl>
    <w:lvl w:ilvl="7" w:tplc="801E8416">
      <w:numFmt w:val="decimal"/>
      <w:lvlText w:val=""/>
      <w:lvlJc w:val="left"/>
    </w:lvl>
    <w:lvl w:ilvl="8" w:tplc="C8108870">
      <w:numFmt w:val="decimal"/>
      <w:lvlText w:val=""/>
      <w:lvlJc w:val="left"/>
    </w:lvl>
  </w:abstractNum>
  <w:abstractNum w:abstractNumId="4"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0A5"/>
    <w:multiLevelType w:val="hybridMultilevel"/>
    <w:tmpl w:val="3D401534"/>
    <w:lvl w:ilvl="0" w:tplc="A7A25A88">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7E4323"/>
    <w:multiLevelType w:val="hybridMultilevel"/>
    <w:tmpl w:val="B066B052"/>
    <w:lvl w:ilvl="0" w:tplc="4F36188A">
      <w:start w:val="1"/>
      <w:numFmt w:val="decimal"/>
      <w:pStyle w:val="TableEX"/>
      <w:lvlText w:val="Table E.%1:"/>
      <w:lvlJc w:val="left"/>
      <w:pPr>
        <w:ind w:left="360" w:hanging="360"/>
      </w:pPr>
      <w:rPr>
        <w:rFonts w:ascii="Arial" w:eastAsia="Arial Unicode MS" w:hAnsi="Arial" w:cs="Arial" w:hint="default"/>
        <w:b w:val="0"/>
        <w:i/>
        <w:caps w:val="0"/>
        <w:color w:val="57514D"/>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E7A8E"/>
    <w:multiLevelType w:val="multilevel"/>
    <w:tmpl w:val="030C4610"/>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2E0C34"/>
    <w:multiLevelType w:val="hybridMultilevel"/>
    <w:tmpl w:val="BB540AD0"/>
    <w:styleLink w:val="BulletPoints"/>
    <w:lvl w:ilvl="0" w:tplc="691E2F78">
      <w:start w:val="1"/>
      <w:numFmt w:val="bullet"/>
      <w:pStyle w:val="BulletPointStyle"/>
      <w:lvlText w:val=""/>
      <w:lvlJc w:val="left"/>
      <w:pPr>
        <w:ind w:left="357" w:hanging="357"/>
      </w:pPr>
      <w:rPr>
        <w:rFonts w:ascii="Wingdings" w:hAnsi="Wingdings" w:hint="default"/>
        <w:color w:val="auto"/>
      </w:rPr>
    </w:lvl>
    <w:lvl w:ilvl="1" w:tplc="978C7DE6">
      <w:start w:val="1"/>
      <w:numFmt w:val="bullet"/>
      <w:lvlText w:val="o"/>
      <w:lvlJc w:val="left"/>
      <w:pPr>
        <w:ind w:left="714" w:hanging="357"/>
      </w:pPr>
      <w:rPr>
        <w:rFonts w:ascii="Courier New" w:hAnsi="Courier New" w:hint="default"/>
      </w:rPr>
    </w:lvl>
    <w:lvl w:ilvl="2" w:tplc="6C8804A2">
      <w:start w:val="1"/>
      <w:numFmt w:val="bullet"/>
      <w:lvlText w:val=""/>
      <w:lvlJc w:val="left"/>
      <w:pPr>
        <w:ind w:left="1071" w:hanging="357"/>
      </w:pPr>
      <w:rPr>
        <w:rFonts w:ascii="Wingdings" w:hAnsi="Wingdings" w:hint="default"/>
      </w:rPr>
    </w:lvl>
    <w:lvl w:ilvl="3" w:tplc="0D20E492">
      <w:start w:val="1"/>
      <w:numFmt w:val="bullet"/>
      <w:lvlText w:val=""/>
      <w:lvlJc w:val="left"/>
      <w:pPr>
        <w:ind w:left="1428" w:hanging="357"/>
      </w:pPr>
      <w:rPr>
        <w:rFonts w:ascii="Symbol" w:hAnsi="Symbol" w:hint="default"/>
      </w:rPr>
    </w:lvl>
    <w:lvl w:ilvl="4" w:tplc="5CDCED86">
      <w:start w:val="1"/>
      <w:numFmt w:val="bullet"/>
      <w:lvlText w:val="o"/>
      <w:lvlJc w:val="left"/>
      <w:pPr>
        <w:ind w:left="1785" w:hanging="357"/>
      </w:pPr>
      <w:rPr>
        <w:rFonts w:ascii="Courier New" w:hAnsi="Courier New" w:hint="default"/>
      </w:rPr>
    </w:lvl>
    <w:lvl w:ilvl="5" w:tplc="F68278BE">
      <w:start w:val="1"/>
      <w:numFmt w:val="bullet"/>
      <w:lvlText w:val=""/>
      <w:lvlJc w:val="left"/>
      <w:pPr>
        <w:ind w:left="2142" w:hanging="357"/>
      </w:pPr>
      <w:rPr>
        <w:rFonts w:ascii="Wingdings" w:hAnsi="Wingdings" w:hint="default"/>
      </w:rPr>
    </w:lvl>
    <w:lvl w:ilvl="6" w:tplc="B6487EBE">
      <w:start w:val="1"/>
      <w:numFmt w:val="bullet"/>
      <w:lvlText w:val=""/>
      <w:lvlJc w:val="left"/>
      <w:pPr>
        <w:ind w:left="2499" w:hanging="357"/>
      </w:pPr>
      <w:rPr>
        <w:rFonts w:ascii="Symbol" w:hAnsi="Symbol" w:hint="default"/>
      </w:rPr>
    </w:lvl>
    <w:lvl w:ilvl="7" w:tplc="E6BC47DA">
      <w:start w:val="1"/>
      <w:numFmt w:val="bullet"/>
      <w:lvlText w:val="o"/>
      <w:lvlJc w:val="left"/>
      <w:pPr>
        <w:ind w:left="2856" w:hanging="357"/>
      </w:pPr>
      <w:rPr>
        <w:rFonts w:ascii="Courier New" w:hAnsi="Courier New" w:hint="default"/>
      </w:rPr>
    </w:lvl>
    <w:lvl w:ilvl="8" w:tplc="D07A521C">
      <w:start w:val="1"/>
      <w:numFmt w:val="bullet"/>
      <w:lvlText w:val=""/>
      <w:lvlJc w:val="left"/>
      <w:pPr>
        <w:ind w:left="3213" w:hanging="357"/>
      </w:pPr>
      <w:rPr>
        <w:rFonts w:ascii="Wingdings" w:hAnsi="Wingdings" w:hint="default"/>
      </w:rPr>
    </w:lvl>
  </w:abstractNum>
  <w:abstractNum w:abstractNumId="13" w15:restartNumberingAfterBreak="0">
    <w:nsid w:val="2BC610FA"/>
    <w:multiLevelType w:val="hybridMultilevel"/>
    <w:tmpl w:val="5BF09A7A"/>
    <w:lvl w:ilvl="0" w:tplc="A44A1856">
      <w:start w:val="1"/>
      <w:numFmt w:val="bullet"/>
      <w:pStyle w:val="Bullet1"/>
      <w:lvlText w:val=""/>
      <w:lvlJc w:val="left"/>
      <w:pPr>
        <w:ind w:left="720" w:hanging="360"/>
      </w:pPr>
      <w:rPr>
        <w:rFonts w:ascii="Symbol" w:hAnsi="Symbol" w:hint="default"/>
        <w:sz w:val="18"/>
        <w:szCs w:val="18"/>
      </w:rPr>
    </w:lvl>
    <w:lvl w:ilvl="1" w:tplc="7C2045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331E4E"/>
    <w:multiLevelType w:val="hybridMultilevel"/>
    <w:tmpl w:val="F42CF918"/>
    <w:lvl w:ilvl="0" w:tplc="6AF6F0F8">
      <w:start w:val="1"/>
      <w:numFmt w:val="bullet"/>
      <w:pStyle w:val="Bullet1box"/>
      <w:lvlText w:val=""/>
      <w:lvlJc w:val="left"/>
      <w:pPr>
        <w:tabs>
          <w:tab w:val="num" w:pos="425"/>
        </w:tabs>
        <w:ind w:left="425" w:hanging="425"/>
      </w:pPr>
      <w:rPr>
        <w:rFonts w:ascii="Wingdings" w:hAnsi="Wingdings" w:hint="default"/>
        <w:sz w:val="21"/>
      </w:rPr>
    </w:lvl>
    <w:lvl w:ilvl="1" w:tplc="DE6A0B06">
      <w:numFmt w:val="decimal"/>
      <w:lvlText w:val=""/>
      <w:lvlJc w:val="left"/>
    </w:lvl>
    <w:lvl w:ilvl="2" w:tplc="5CD24E72">
      <w:numFmt w:val="decimal"/>
      <w:lvlText w:val=""/>
      <w:lvlJc w:val="left"/>
    </w:lvl>
    <w:lvl w:ilvl="3" w:tplc="F3603390">
      <w:numFmt w:val="decimal"/>
      <w:lvlText w:val=""/>
      <w:lvlJc w:val="left"/>
    </w:lvl>
    <w:lvl w:ilvl="4" w:tplc="780CCFC4">
      <w:numFmt w:val="decimal"/>
      <w:lvlText w:val=""/>
      <w:lvlJc w:val="left"/>
    </w:lvl>
    <w:lvl w:ilvl="5" w:tplc="0ACEF272">
      <w:numFmt w:val="decimal"/>
      <w:lvlText w:val=""/>
      <w:lvlJc w:val="left"/>
    </w:lvl>
    <w:lvl w:ilvl="6" w:tplc="C396F1E2">
      <w:numFmt w:val="decimal"/>
      <w:lvlText w:val=""/>
      <w:lvlJc w:val="left"/>
    </w:lvl>
    <w:lvl w:ilvl="7" w:tplc="EDB4A684">
      <w:numFmt w:val="decimal"/>
      <w:lvlText w:val=""/>
      <w:lvlJc w:val="left"/>
    </w:lvl>
    <w:lvl w:ilvl="8" w:tplc="800009CC">
      <w:numFmt w:val="decimal"/>
      <w:lvlText w:val=""/>
      <w:lvlJc w:val="left"/>
    </w:lvl>
  </w:abstractNum>
  <w:abstractNum w:abstractNumId="19"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977C9B"/>
    <w:multiLevelType w:val="hybridMultilevel"/>
    <w:tmpl w:val="DBA26BC8"/>
    <w:lvl w:ilvl="0" w:tplc="D84A1D7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3AB030E8"/>
    <w:multiLevelType w:val="hybridMultilevel"/>
    <w:tmpl w:val="BFE2F1D6"/>
    <w:lvl w:ilvl="0" w:tplc="6980E54A">
      <w:start w:val="1"/>
      <w:numFmt w:val="bullet"/>
      <w:pStyle w:val="Bullet1inabox"/>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944FB"/>
    <w:multiLevelType w:val="hybridMultilevel"/>
    <w:tmpl w:val="96863882"/>
    <w:lvl w:ilvl="0" w:tplc="16948596">
      <w:start w:val="1"/>
      <w:numFmt w:val="bullet"/>
      <w:pStyle w:val="Bullet4"/>
      <w:lvlText w:val=""/>
      <w:lvlJc w:val="left"/>
      <w:pPr>
        <w:tabs>
          <w:tab w:val="num" w:pos="1701"/>
        </w:tabs>
        <w:ind w:left="1701" w:hanging="425"/>
      </w:pPr>
      <w:rPr>
        <w:rFonts w:ascii="Symbol" w:hAnsi="Symbol" w:hint="default"/>
        <w:sz w:val="22"/>
      </w:rPr>
    </w:lvl>
    <w:lvl w:ilvl="1" w:tplc="63622C4A">
      <w:numFmt w:val="decimal"/>
      <w:lvlText w:val=""/>
      <w:lvlJc w:val="left"/>
    </w:lvl>
    <w:lvl w:ilvl="2" w:tplc="7258FD90">
      <w:numFmt w:val="decimal"/>
      <w:lvlText w:val=""/>
      <w:lvlJc w:val="left"/>
    </w:lvl>
    <w:lvl w:ilvl="3" w:tplc="46B89342">
      <w:numFmt w:val="decimal"/>
      <w:lvlText w:val=""/>
      <w:lvlJc w:val="left"/>
    </w:lvl>
    <w:lvl w:ilvl="4" w:tplc="EC123234">
      <w:numFmt w:val="decimal"/>
      <w:lvlText w:val=""/>
      <w:lvlJc w:val="left"/>
    </w:lvl>
    <w:lvl w:ilvl="5" w:tplc="54FEE7C4">
      <w:numFmt w:val="decimal"/>
      <w:lvlText w:val=""/>
      <w:lvlJc w:val="left"/>
    </w:lvl>
    <w:lvl w:ilvl="6" w:tplc="E042D124">
      <w:numFmt w:val="decimal"/>
      <w:lvlText w:val=""/>
      <w:lvlJc w:val="left"/>
    </w:lvl>
    <w:lvl w:ilvl="7" w:tplc="D35E3A96">
      <w:numFmt w:val="decimal"/>
      <w:lvlText w:val=""/>
      <w:lvlJc w:val="left"/>
    </w:lvl>
    <w:lvl w:ilvl="8" w:tplc="118C7C88">
      <w:numFmt w:val="decimal"/>
      <w:lvlText w:val=""/>
      <w:lvlJc w:val="left"/>
    </w:lvl>
  </w:abstractNum>
  <w:abstractNum w:abstractNumId="23" w15:restartNumberingAfterBreak="0">
    <w:nsid w:val="401B0688"/>
    <w:multiLevelType w:val="hybridMultilevel"/>
    <w:tmpl w:val="72DCFD98"/>
    <w:lvl w:ilvl="0" w:tplc="938A90D4">
      <w:start w:val="1"/>
      <w:numFmt w:val="decimal"/>
      <w:pStyle w:val="Chart2X"/>
      <w:lvlText w:val="Chart 2.%1:"/>
      <w:lvlJc w:val="left"/>
      <w:pPr>
        <w:ind w:left="1211"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4E4A4250"/>
    <w:multiLevelType w:val="hybridMultilevel"/>
    <w:tmpl w:val="868AFABA"/>
    <w:lvl w:ilvl="0" w:tplc="FCB65C70">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41D7B"/>
    <w:multiLevelType w:val="hybridMultilevel"/>
    <w:tmpl w:val="A3C43FDC"/>
    <w:lvl w:ilvl="0" w:tplc="4288CBAC">
      <w:start w:val="1"/>
      <w:numFmt w:val="decimal"/>
      <w:pStyle w:val="ChartEX"/>
      <w:lvlText w:val="Chart E.%1:"/>
      <w:lvlJc w:val="left"/>
      <w:pPr>
        <w:ind w:left="360" w:hanging="360"/>
      </w:pPr>
      <w:rPr>
        <w:rFonts w:ascii="Arial" w:hAnsi="Arial" w:hint="default"/>
        <w:b w:val="0"/>
        <w:i/>
        <w:caps w:val="0"/>
        <w:color w:val="57514D"/>
        <w:sz w:val="22"/>
      </w:rPr>
    </w:lvl>
    <w:lvl w:ilvl="1" w:tplc="203C08B8">
      <w:numFmt w:val="decimal"/>
      <w:lvlText w:val=""/>
      <w:lvlJc w:val="left"/>
    </w:lvl>
    <w:lvl w:ilvl="2" w:tplc="F80C9BA6">
      <w:numFmt w:val="decimal"/>
      <w:lvlText w:val=""/>
      <w:lvlJc w:val="left"/>
    </w:lvl>
    <w:lvl w:ilvl="3" w:tplc="990E456A">
      <w:numFmt w:val="decimal"/>
      <w:lvlText w:val=""/>
      <w:lvlJc w:val="left"/>
    </w:lvl>
    <w:lvl w:ilvl="4" w:tplc="6C66F2AA">
      <w:numFmt w:val="decimal"/>
      <w:lvlText w:val=""/>
      <w:lvlJc w:val="left"/>
    </w:lvl>
    <w:lvl w:ilvl="5" w:tplc="13146E02">
      <w:numFmt w:val="decimal"/>
      <w:lvlText w:val=""/>
      <w:lvlJc w:val="left"/>
    </w:lvl>
    <w:lvl w:ilvl="6" w:tplc="B114B7CA">
      <w:numFmt w:val="decimal"/>
      <w:lvlText w:val=""/>
      <w:lvlJc w:val="left"/>
    </w:lvl>
    <w:lvl w:ilvl="7" w:tplc="39362986">
      <w:numFmt w:val="decimal"/>
      <w:lvlText w:val=""/>
      <w:lvlJc w:val="left"/>
    </w:lvl>
    <w:lvl w:ilvl="8" w:tplc="4D9EFCF0">
      <w:numFmt w:val="decimal"/>
      <w:lvlText w:val=""/>
      <w:lvlJc w:val="left"/>
    </w:lvl>
  </w:abstractNum>
  <w:abstractNum w:abstractNumId="28" w15:restartNumberingAfterBreak="0">
    <w:nsid w:val="56774BCA"/>
    <w:multiLevelType w:val="hybridMultilevel"/>
    <w:tmpl w:val="152CAC3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150C89"/>
    <w:multiLevelType w:val="hybridMultilevel"/>
    <w:tmpl w:val="123AAB14"/>
    <w:lvl w:ilvl="0" w:tplc="E49E47E8">
      <w:start w:val="1"/>
      <w:numFmt w:val="none"/>
      <w:pStyle w:val="TableXX"/>
      <w:lvlText w:val=""/>
      <w:lvlJc w:val="left"/>
      <w:pPr>
        <w:ind w:left="357" w:hanging="357"/>
      </w:pPr>
      <w:rPr>
        <w:rFonts w:hint="default"/>
      </w:rPr>
    </w:lvl>
    <w:lvl w:ilvl="1" w:tplc="E326BA48">
      <w:start w:val="1"/>
      <w:numFmt w:val="lowerLetter"/>
      <w:lvlText w:val="%2)"/>
      <w:lvlJc w:val="left"/>
      <w:pPr>
        <w:ind w:left="714" w:hanging="357"/>
      </w:pPr>
      <w:rPr>
        <w:rFonts w:hint="default"/>
      </w:rPr>
    </w:lvl>
    <w:lvl w:ilvl="2" w:tplc="F34EA560">
      <w:start w:val="1"/>
      <w:numFmt w:val="lowerRoman"/>
      <w:lvlText w:val="%3)"/>
      <w:lvlJc w:val="left"/>
      <w:pPr>
        <w:ind w:left="1071" w:hanging="357"/>
      </w:pPr>
      <w:rPr>
        <w:rFonts w:hint="default"/>
      </w:rPr>
    </w:lvl>
    <w:lvl w:ilvl="3" w:tplc="DE6EC046">
      <w:start w:val="1"/>
      <w:numFmt w:val="decimal"/>
      <w:lvlText w:val="(%4)"/>
      <w:lvlJc w:val="left"/>
      <w:pPr>
        <w:ind w:left="1428" w:hanging="357"/>
      </w:pPr>
      <w:rPr>
        <w:rFonts w:hint="default"/>
      </w:rPr>
    </w:lvl>
    <w:lvl w:ilvl="4" w:tplc="D4205382">
      <w:start w:val="1"/>
      <w:numFmt w:val="lowerLetter"/>
      <w:lvlText w:val="(%5)"/>
      <w:lvlJc w:val="left"/>
      <w:pPr>
        <w:ind w:left="1785" w:hanging="357"/>
      </w:pPr>
      <w:rPr>
        <w:rFonts w:hint="default"/>
      </w:rPr>
    </w:lvl>
    <w:lvl w:ilvl="5" w:tplc="3116873C">
      <w:start w:val="1"/>
      <w:numFmt w:val="lowerRoman"/>
      <w:lvlText w:val="(%6)"/>
      <w:lvlJc w:val="left"/>
      <w:pPr>
        <w:ind w:left="2142" w:hanging="357"/>
      </w:pPr>
      <w:rPr>
        <w:rFonts w:hint="default"/>
      </w:rPr>
    </w:lvl>
    <w:lvl w:ilvl="6" w:tplc="6A6874C2">
      <w:start w:val="1"/>
      <w:numFmt w:val="decimal"/>
      <w:lvlText w:val="%7."/>
      <w:lvlJc w:val="left"/>
      <w:pPr>
        <w:ind w:left="2499" w:hanging="357"/>
      </w:pPr>
      <w:rPr>
        <w:rFonts w:hint="default"/>
      </w:rPr>
    </w:lvl>
    <w:lvl w:ilvl="7" w:tplc="A000CB58">
      <w:start w:val="1"/>
      <w:numFmt w:val="lowerLetter"/>
      <w:lvlText w:val="%8."/>
      <w:lvlJc w:val="left"/>
      <w:pPr>
        <w:ind w:left="2856" w:hanging="357"/>
      </w:pPr>
      <w:rPr>
        <w:rFonts w:hint="default"/>
      </w:rPr>
    </w:lvl>
    <w:lvl w:ilvl="8" w:tplc="82FC75E2">
      <w:start w:val="1"/>
      <w:numFmt w:val="lowerRoman"/>
      <w:lvlText w:val="%9."/>
      <w:lvlJc w:val="left"/>
      <w:pPr>
        <w:ind w:left="3213" w:hanging="357"/>
      </w:pPr>
      <w:rPr>
        <w:rFonts w:hint="default"/>
      </w:rPr>
    </w:lvl>
  </w:abstractNum>
  <w:abstractNum w:abstractNumId="30"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31" w15:restartNumberingAfterBreak="0">
    <w:nsid w:val="6A0515BC"/>
    <w:multiLevelType w:val="hybridMultilevel"/>
    <w:tmpl w:val="5A0836AE"/>
    <w:lvl w:ilvl="0" w:tplc="A7A25A88">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C3404D"/>
    <w:multiLevelType w:val="hybridMultilevel"/>
    <w:tmpl w:val="1F601200"/>
    <w:lvl w:ilvl="0" w:tplc="A7A25A88">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18"/>
  </w:num>
  <w:num w:numId="5">
    <w:abstractNumId w:val="21"/>
  </w:num>
  <w:num w:numId="6">
    <w:abstractNumId w:val="26"/>
  </w:num>
  <w:num w:numId="7">
    <w:abstractNumId w:val="3"/>
  </w:num>
  <w:num w:numId="8">
    <w:abstractNumId w:val="22"/>
  </w:num>
  <w:num w:numId="9">
    <w:abstractNumId w:val="12"/>
  </w:num>
  <w:num w:numId="10">
    <w:abstractNumId w:val="12"/>
  </w:num>
  <w:num w:numId="11">
    <w:abstractNumId w:val="25"/>
  </w:num>
  <w:num w:numId="12">
    <w:abstractNumId w:val="8"/>
  </w:num>
  <w:num w:numId="13">
    <w:abstractNumId w:val="23"/>
  </w:num>
  <w:num w:numId="14">
    <w:abstractNumId w:val="16"/>
  </w:num>
  <w:num w:numId="15">
    <w:abstractNumId w:val="29"/>
  </w:num>
  <w:num w:numId="16">
    <w:abstractNumId w:val="4"/>
  </w:num>
  <w:num w:numId="17">
    <w:abstractNumId w:val="30"/>
  </w:num>
  <w:num w:numId="18">
    <w:abstractNumId w:val="27"/>
  </w:num>
  <w:num w:numId="19">
    <w:abstractNumId w:val="19"/>
  </w:num>
  <w:num w:numId="20">
    <w:abstractNumId w:val="0"/>
  </w:num>
  <w:num w:numId="21">
    <w:abstractNumId w:val="6"/>
  </w:num>
  <w:num w:numId="22">
    <w:abstractNumId w:val="2"/>
  </w:num>
  <w:num w:numId="23">
    <w:abstractNumId w:val="1"/>
  </w:num>
  <w:num w:numId="24">
    <w:abstractNumId w:val="11"/>
  </w:num>
  <w:num w:numId="25">
    <w:abstractNumId w:val="24"/>
  </w:num>
  <w:num w:numId="26">
    <w:abstractNumId w:val="5"/>
  </w:num>
  <w:num w:numId="27">
    <w:abstractNumId w:val="17"/>
  </w:num>
  <w:num w:numId="28">
    <w:abstractNumId w:val="32"/>
  </w:num>
  <w:num w:numId="29">
    <w:abstractNumId w:val="14"/>
  </w:num>
  <w:num w:numId="30">
    <w:abstractNumId w:val="20"/>
  </w:num>
  <w:num w:numId="31">
    <w:abstractNumId w:val="31"/>
  </w:num>
  <w:num w:numId="32">
    <w:abstractNumId w:val="28"/>
  </w:num>
  <w:num w:numId="33">
    <w:abstractNumId w:val="13"/>
  </w:num>
  <w:num w:numId="34">
    <w:abstractNumId w:val="7"/>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471"/>
    <w:rsid w:val="0000205D"/>
    <w:rsid w:val="00003FA2"/>
    <w:rsid w:val="00005C96"/>
    <w:rsid w:val="00006344"/>
    <w:rsid w:val="0000645C"/>
    <w:rsid w:val="0000665F"/>
    <w:rsid w:val="00006F3D"/>
    <w:rsid w:val="00010AD9"/>
    <w:rsid w:val="0001113B"/>
    <w:rsid w:val="00012BFE"/>
    <w:rsid w:val="00014C40"/>
    <w:rsid w:val="00014DE3"/>
    <w:rsid w:val="00015075"/>
    <w:rsid w:val="00015309"/>
    <w:rsid w:val="00016476"/>
    <w:rsid w:val="00017916"/>
    <w:rsid w:val="00017986"/>
    <w:rsid w:val="00017CB0"/>
    <w:rsid w:val="00017D3F"/>
    <w:rsid w:val="00020226"/>
    <w:rsid w:val="00021B9F"/>
    <w:rsid w:val="0002297A"/>
    <w:rsid w:val="00023578"/>
    <w:rsid w:val="000249AE"/>
    <w:rsid w:val="00024C4A"/>
    <w:rsid w:val="00024CC8"/>
    <w:rsid w:val="00025FA5"/>
    <w:rsid w:val="00026C71"/>
    <w:rsid w:val="000273CA"/>
    <w:rsid w:val="00027BD6"/>
    <w:rsid w:val="00032EA0"/>
    <w:rsid w:val="00033045"/>
    <w:rsid w:val="000349E7"/>
    <w:rsid w:val="00036579"/>
    <w:rsid w:val="00036EF4"/>
    <w:rsid w:val="000376E6"/>
    <w:rsid w:val="0004001B"/>
    <w:rsid w:val="000404FF"/>
    <w:rsid w:val="000406AD"/>
    <w:rsid w:val="00041492"/>
    <w:rsid w:val="00042CDC"/>
    <w:rsid w:val="00044147"/>
    <w:rsid w:val="000443F1"/>
    <w:rsid w:val="000456FA"/>
    <w:rsid w:val="00045DC4"/>
    <w:rsid w:val="00046179"/>
    <w:rsid w:val="00047783"/>
    <w:rsid w:val="00047945"/>
    <w:rsid w:val="00050636"/>
    <w:rsid w:val="00050C5E"/>
    <w:rsid w:val="00051264"/>
    <w:rsid w:val="00052B09"/>
    <w:rsid w:val="000534D2"/>
    <w:rsid w:val="00053EBA"/>
    <w:rsid w:val="000543E6"/>
    <w:rsid w:val="00055A41"/>
    <w:rsid w:val="00055E23"/>
    <w:rsid w:val="0005669C"/>
    <w:rsid w:val="0005772B"/>
    <w:rsid w:val="00057831"/>
    <w:rsid w:val="00060671"/>
    <w:rsid w:val="00061342"/>
    <w:rsid w:val="00061A9A"/>
    <w:rsid w:val="00061B44"/>
    <w:rsid w:val="00062795"/>
    <w:rsid w:val="0006295C"/>
    <w:rsid w:val="00062A33"/>
    <w:rsid w:val="00064191"/>
    <w:rsid w:val="00066718"/>
    <w:rsid w:val="00067372"/>
    <w:rsid w:val="000674DA"/>
    <w:rsid w:val="00067A7C"/>
    <w:rsid w:val="00067C6E"/>
    <w:rsid w:val="00071214"/>
    <w:rsid w:val="00071BB8"/>
    <w:rsid w:val="0007261F"/>
    <w:rsid w:val="00074AC7"/>
    <w:rsid w:val="00075108"/>
    <w:rsid w:val="00076780"/>
    <w:rsid w:val="0007723D"/>
    <w:rsid w:val="000778B7"/>
    <w:rsid w:val="0008195C"/>
    <w:rsid w:val="000826A8"/>
    <w:rsid w:val="00083283"/>
    <w:rsid w:val="00084280"/>
    <w:rsid w:val="000843C8"/>
    <w:rsid w:val="00084E06"/>
    <w:rsid w:val="00084E7E"/>
    <w:rsid w:val="00085737"/>
    <w:rsid w:val="00085EF0"/>
    <w:rsid w:val="0008645E"/>
    <w:rsid w:val="00086A3C"/>
    <w:rsid w:val="00086C27"/>
    <w:rsid w:val="00086EC1"/>
    <w:rsid w:val="000872C8"/>
    <w:rsid w:val="000876ED"/>
    <w:rsid w:val="0009168F"/>
    <w:rsid w:val="00091E3F"/>
    <w:rsid w:val="0009374A"/>
    <w:rsid w:val="000949A3"/>
    <w:rsid w:val="00094B98"/>
    <w:rsid w:val="00095605"/>
    <w:rsid w:val="000959BC"/>
    <w:rsid w:val="00095A4D"/>
    <w:rsid w:val="00095B14"/>
    <w:rsid w:val="00096C85"/>
    <w:rsid w:val="00097109"/>
    <w:rsid w:val="00097998"/>
    <w:rsid w:val="00097C64"/>
    <w:rsid w:val="000A013B"/>
    <w:rsid w:val="000A0715"/>
    <w:rsid w:val="000A160D"/>
    <w:rsid w:val="000A1CF6"/>
    <w:rsid w:val="000A2DD7"/>
    <w:rsid w:val="000A2F84"/>
    <w:rsid w:val="000A395A"/>
    <w:rsid w:val="000A4171"/>
    <w:rsid w:val="000A5230"/>
    <w:rsid w:val="000A611B"/>
    <w:rsid w:val="000A67C4"/>
    <w:rsid w:val="000A6889"/>
    <w:rsid w:val="000A68CC"/>
    <w:rsid w:val="000B01E9"/>
    <w:rsid w:val="000B02F6"/>
    <w:rsid w:val="000B0A22"/>
    <w:rsid w:val="000B25F1"/>
    <w:rsid w:val="000B356B"/>
    <w:rsid w:val="000B3BBE"/>
    <w:rsid w:val="000B6AA1"/>
    <w:rsid w:val="000B7237"/>
    <w:rsid w:val="000C0072"/>
    <w:rsid w:val="000C14A2"/>
    <w:rsid w:val="000C259E"/>
    <w:rsid w:val="000C2662"/>
    <w:rsid w:val="000C28FB"/>
    <w:rsid w:val="000C2DB2"/>
    <w:rsid w:val="000C3132"/>
    <w:rsid w:val="000C3649"/>
    <w:rsid w:val="000C5D27"/>
    <w:rsid w:val="000C5D2F"/>
    <w:rsid w:val="000C62C7"/>
    <w:rsid w:val="000C648A"/>
    <w:rsid w:val="000C6FB3"/>
    <w:rsid w:val="000D07C8"/>
    <w:rsid w:val="000D0FC7"/>
    <w:rsid w:val="000D1765"/>
    <w:rsid w:val="000D266E"/>
    <w:rsid w:val="000D3100"/>
    <w:rsid w:val="000D364F"/>
    <w:rsid w:val="000D3D46"/>
    <w:rsid w:val="000D3E10"/>
    <w:rsid w:val="000D4FD8"/>
    <w:rsid w:val="000D51FA"/>
    <w:rsid w:val="000D5B19"/>
    <w:rsid w:val="000D5B90"/>
    <w:rsid w:val="000D5DAB"/>
    <w:rsid w:val="000D5E69"/>
    <w:rsid w:val="000D7946"/>
    <w:rsid w:val="000D7C00"/>
    <w:rsid w:val="000E0A75"/>
    <w:rsid w:val="000E0D6B"/>
    <w:rsid w:val="000E1007"/>
    <w:rsid w:val="000E12CE"/>
    <w:rsid w:val="000E1C31"/>
    <w:rsid w:val="000E2E9A"/>
    <w:rsid w:val="000E4233"/>
    <w:rsid w:val="000E4B70"/>
    <w:rsid w:val="000E5153"/>
    <w:rsid w:val="000E7D35"/>
    <w:rsid w:val="000F1E2C"/>
    <w:rsid w:val="000F24E9"/>
    <w:rsid w:val="000F3058"/>
    <w:rsid w:val="000F4B72"/>
    <w:rsid w:val="000F54DA"/>
    <w:rsid w:val="000F67B0"/>
    <w:rsid w:val="000F6A2D"/>
    <w:rsid w:val="000F7398"/>
    <w:rsid w:val="000F7DB5"/>
    <w:rsid w:val="000F7E0A"/>
    <w:rsid w:val="00100DFC"/>
    <w:rsid w:val="001026B0"/>
    <w:rsid w:val="00102701"/>
    <w:rsid w:val="00103F53"/>
    <w:rsid w:val="001041A7"/>
    <w:rsid w:val="001043CB"/>
    <w:rsid w:val="001051F7"/>
    <w:rsid w:val="00105DB3"/>
    <w:rsid w:val="00107601"/>
    <w:rsid w:val="00110823"/>
    <w:rsid w:val="00110FCD"/>
    <w:rsid w:val="001122C9"/>
    <w:rsid w:val="00112610"/>
    <w:rsid w:val="0011442D"/>
    <w:rsid w:val="001156A5"/>
    <w:rsid w:val="00115A63"/>
    <w:rsid w:val="00116393"/>
    <w:rsid w:val="001166AF"/>
    <w:rsid w:val="001174BE"/>
    <w:rsid w:val="00120D14"/>
    <w:rsid w:val="00121A79"/>
    <w:rsid w:val="00122FAF"/>
    <w:rsid w:val="00123036"/>
    <w:rsid w:val="001232F5"/>
    <w:rsid w:val="00124A79"/>
    <w:rsid w:val="001252E4"/>
    <w:rsid w:val="00125DB6"/>
    <w:rsid w:val="00126FCA"/>
    <w:rsid w:val="00127AFC"/>
    <w:rsid w:val="00127D11"/>
    <w:rsid w:val="00127E12"/>
    <w:rsid w:val="00133171"/>
    <w:rsid w:val="001342E9"/>
    <w:rsid w:val="00134873"/>
    <w:rsid w:val="00134905"/>
    <w:rsid w:val="00135044"/>
    <w:rsid w:val="00135079"/>
    <w:rsid w:val="00135A62"/>
    <w:rsid w:val="001360EB"/>
    <w:rsid w:val="00136B0B"/>
    <w:rsid w:val="00137406"/>
    <w:rsid w:val="001374DC"/>
    <w:rsid w:val="001418AC"/>
    <w:rsid w:val="00142BAB"/>
    <w:rsid w:val="00143C57"/>
    <w:rsid w:val="00143E47"/>
    <w:rsid w:val="00143E64"/>
    <w:rsid w:val="00144A90"/>
    <w:rsid w:val="00146489"/>
    <w:rsid w:val="001465C8"/>
    <w:rsid w:val="00146E2B"/>
    <w:rsid w:val="00150399"/>
    <w:rsid w:val="0015066C"/>
    <w:rsid w:val="00150677"/>
    <w:rsid w:val="0015124D"/>
    <w:rsid w:val="00151314"/>
    <w:rsid w:val="0015167F"/>
    <w:rsid w:val="00151789"/>
    <w:rsid w:val="00151AE3"/>
    <w:rsid w:val="001533A2"/>
    <w:rsid w:val="00153951"/>
    <w:rsid w:val="00153BA4"/>
    <w:rsid w:val="0015422F"/>
    <w:rsid w:val="00156132"/>
    <w:rsid w:val="00156168"/>
    <w:rsid w:val="001567DB"/>
    <w:rsid w:val="00156A7D"/>
    <w:rsid w:val="00156FEC"/>
    <w:rsid w:val="0015737F"/>
    <w:rsid w:val="00157FED"/>
    <w:rsid w:val="00161070"/>
    <w:rsid w:val="0016121E"/>
    <w:rsid w:val="00161764"/>
    <w:rsid w:val="00161918"/>
    <w:rsid w:val="001626ED"/>
    <w:rsid w:val="001637E0"/>
    <w:rsid w:val="00163D21"/>
    <w:rsid w:val="00163E60"/>
    <w:rsid w:val="0016409A"/>
    <w:rsid w:val="00164E25"/>
    <w:rsid w:val="00167517"/>
    <w:rsid w:val="0017008F"/>
    <w:rsid w:val="001704F2"/>
    <w:rsid w:val="00170A17"/>
    <w:rsid w:val="00170C35"/>
    <w:rsid w:val="00170E10"/>
    <w:rsid w:val="001721AC"/>
    <w:rsid w:val="001723C8"/>
    <w:rsid w:val="0017320D"/>
    <w:rsid w:val="001735C5"/>
    <w:rsid w:val="00173E2C"/>
    <w:rsid w:val="00174C66"/>
    <w:rsid w:val="00175A8D"/>
    <w:rsid w:val="00175FA0"/>
    <w:rsid w:val="0017730D"/>
    <w:rsid w:val="00177CC2"/>
    <w:rsid w:val="00177FE8"/>
    <w:rsid w:val="00180ABD"/>
    <w:rsid w:val="00181A01"/>
    <w:rsid w:val="0018251A"/>
    <w:rsid w:val="00185B1B"/>
    <w:rsid w:val="00190530"/>
    <w:rsid w:val="0019118A"/>
    <w:rsid w:val="001916B5"/>
    <w:rsid w:val="00191BEB"/>
    <w:rsid w:val="00193B19"/>
    <w:rsid w:val="00194FC5"/>
    <w:rsid w:val="0019570F"/>
    <w:rsid w:val="00195DBC"/>
    <w:rsid w:val="00196686"/>
    <w:rsid w:val="001977EB"/>
    <w:rsid w:val="00197E5B"/>
    <w:rsid w:val="001A01B3"/>
    <w:rsid w:val="001A038C"/>
    <w:rsid w:val="001A115D"/>
    <w:rsid w:val="001A18E6"/>
    <w:rsid w:val="001A3F92"/>
    <w:rsid w:val="001A5906"/>
    <w:rsid w:val="001A6E6F"/>
    <w:rsid w:val="001A729D"/>
    <w:rsid w:val="001A763C"/>
    <w:rsid w:val="001A764B"/>
    <w:rsid w:val="001A7739"/>
    <w:rsid w:val="001A7879"/>
    <w:rsid w:val="001A7DB1"/>
    <w:rsid w:val="001A7E0E"/>
    <w:rsid w:val="001B09AE"/>
    <w:rsid w:val="001B16BB"/>
    <w:rsid w:val="001B2475"/>
    <w:rsid w:val="001B38C1"/>
    <w:rsid w:val="001B3B0F"/>
    <w:rsid w:val="001B3FB3"/>
    <w:rsid w:val="001B4B68"/>
    <w:rsid w:val="001B5842"/>
    <w:rsid w:val="001B5F58"/>
    <w:rsid w:val="001B6139"/>
    <w:rsid w:val="001B6438"/>
    <w:rsid w:val="001B6F4E"/>
    <w:rsid w:val="001B78BA"/>
    <w:rsid w:val="001C0493"/>
    <w:rsid w:val="001C1CD1"/>
    <w:rsid w:val="001C3296"/>
    <w:rsid w:val="001C32E7"/>
    <w:rsid w:val="001C38FA"/>
    <w:rsid w:val="001C434D"/>
    <w:rsid w:val="001C4625"/>
    <w:rsid w:val="001C46BF"/>
    <w:rsid w:val="001C4851"/>
    <w:rsid w:val="001C7E3D"/>
    <w:rsid w:val="001D037F"/>
    <w:rsid w:val="001D0447"/>
    <w:rsid w:val="001D0981"/>
    <w:rsid w:val="001D0A45"/>
    <w:rsid w:val="001D33FB"/>
    <w:rsid w:val="001D42C1"/>
    <w:rsid w:val="001D5A36"/>
    <w:rsid w:val="001D6FAF"/>
    <w:rsid w:val="001D7837"/>
    <w:rsid w:val="001E056C"/>
    <w:rsid w:val="001E1815"/>
    <w:rsid w:val="001E23FB"/>
    <w:rsid w:val="001E26E6"/>
    <w:rsid w:val="001E3A66"/>
    <w:rsid w:val="001E4277"/>
    <w:rsid w:val="001E52B0"/>
    <w:rsid w:val="001E545C"/>
    <w:rsid w:val="001E5D5A"/>
    <w:rsid w:val="001E659E"/>
    <w:rsid w:val="001E6D04"/>
    <w:rsid w:val="001E7373"/>
    <w:rsid w:val="001E798F"/>
    <w:rsid w:val="001F073C"/>
    <w:rsid w:val="001F0E38"/>
    <w:rsid w:val="001F158A"/>
    <w:rsid w:val="001F1C5A"/>
    <w:rsid w:val="001F2D77"/>
    <w:rsid w:val="001F2F7B"/>
    <w:rsid w:val="001F51E7"/>
    <w:rsid w:val="001F5D68"/>
    <w:rsid w:val="001F7C23"/>
    <w:rsid w:val="002011C8"/>
    <w:rsid w:val="00201208"/>
    <w:rsid w:val="00202410"/>
    <w:rsid w:val="002024B1"/>
    <w:rsid w:val="00203B17"/>
    <w:rsid w:val="002045C2"/>
    <w:rsid w:val="00204735"/>
    <w:rsid w:val="0020587C"/>
    <w:rsid w:val="002065AC"/>
    <w:rsid w:val="00210364"/>
    <w:rsid w:val="00210558"/>
    <w:rsid w:val="00210809"/>
    <w:rsid w:val="002116EF"/>
    <w:rsid w:val="002122B2"/>
    <w:rsid w:val="00213B9E"/>
    <w:rsid w:val="002146B5"/>
    <w:rsid w:val="00215856"/>
    <w:rsid w:val="00215B95"/>
    <w:rsid w:val="002170CC"/>
    <w:rsid w:val="002216A6"/>
    <w:rsid w:val="00221711"/>
    <w:rsid w:val="002220A1"/>
    <w:rsid w:val="002222EE"/>
    <w:rsid w:val="002224E5"/>
    <w:rsid w:val="00223EAA"/>
    <w:rsid w:val="002246C5"/>
    <w:rsid w:val="0022477C"/>
    <w:rsid w:val="002255E8"/>
    <w:rsid w:val="002259F2"/>
    <w:rsid w:val="0022629D"/>
    <w:rsid w:val="0022696C"/>
    <w:rsid w:val="00230227"/>
    <w:rsid w:val="002305FF"/>
    <w:rsid w:val="002314CC"/>
    <w:rsid w:val="0023173E"/>
    <w:rsid w:val="00231D67"/>
    <w:rsid w:val="002330CF"/>
    <w:rsid w:val="002335A4"/>
    <w:rsid w:val="00233C74"/>
    <w:rsid w:val="00235FF7"/>
    <w:rsid w:val="00237839"/>
    <w:rsid w:val="00237BC6"/>
    <w:rsid w:val="00237D58"/>
    <w:rsid w:val="00240C82"/>
    <w:rsid w:val="00240F42"/>
    <w:rsid w:val="00240FFB"/>
    <w:rsid w:val="00241298"/>
    <w:rsid w:val="0024147A"/>
    <w:rsid w:val="0024190A"/>
    <w:rsid w:val="002431BB"/>
    <w:rsid w:val="00243241"/>
    <w:rsid w:val="00244AE9"/>
    <w:rsid w:val="00245457"/>
    <w:rsid w:val="00245C9B"/>
    <w:rsid w:val="002464D8"/>
    <w:rsid w:val="00246A45"/>
    <w:rsid w:val="00246B9D"/>
    <w:rsid w:val="00250CA7"/>
    <w:rsid w:val="00250DA5"/>
    <w:rsid w:val="002511FC"/>
    <w:rsid w:val="00251406"/>
    <w:rsid w:val="00253B2B"/>
    <w:rsid w:val="00255EC7"/>
    <w:rsid w:val="00256432"/>
    <w:rsid w:val="0025754B"/>
    <w:rsid w:val="0026066B"/>
    <w:rsid w:val="00260C61"/>
    <w:rsid w:val="0026102B"/>
    <w:rsid w:val="00262821"/>
    <w:rsid w:val="00262D5E"/>
    <w:rsid w:val="00263363"/>
    <w:rsid w:val="002643CC"/>
    <w:rsid w:val="00264484"/>
    <w:rsid w:val="002652D2"/>
    <w:rsid w:val="00265C59"/>
    <w:rsid w:val="00265CEF"/>
    <w:rsid w:val="0026799C"/>
    <w:rsid w:val="00270183"/>
    <w:rsid w:val="0027023B"/>
    <w:rsid w:val="00271717"/>
    <w:rsid w:val="00272BD2"/>
    <w:rsid w:val="00274220"/>
    <w:rsid w:val="00274315"/>
    <w:rsid w:val="00274A50"/>
    <w:rsid w:val="0027501A"/>
    <w:rsid w:val="00275830"/>
    <w:rsid w:val="002766D5"/>
    <w:rsid w:val="0027685E"/>
    <w:rsid w:val="00280175"/>
    <w:rsid w:val="002815F2"/>
    <w:rsid w:val="00281B5F"/>
    <w:rsid w:val="00282095"/>
    <w:rsid w:val="00282518"/>
    <w:rsid w:val="00283B68"/>
    <w:rsid w:val="002857EB"/>
    <w:rsid w:val="00285BF6"/>
    <w:rsid w:val="002864D5"/>
    <w:rsid w:val="002868F0"/>
    <w:rsid w:val="002869C0"/>
    <w:rsid w:val="00287270"/>
    <w:rsid w:val="00287533"/>
    <w:rsid w:val="00287A1E"/>
    <w:rsid w:val="00287B92"/>
    <w:rsid w:val="002901D7"/>
    <w:rsid w:val="002902F2"/>
    <w:rsid w:val="00291B8C"/>
    <w:rsid w:val="00293354"/>
    <w:rsid w:val="0029342A"/>
    <w:rsid w:val="002941BE"/>
    <w:rsid w:val="002949C8"/>
    <w:rsid w:val="00294FE6"/>
    <w:rsid w:val="00296C57"/>
    <w:rsid w:val="00297D4E"/>
    <w:rsid w:val="002A0F86"/>
    <w:rsid w:val="002A10EE"/>
    <w:rsid w:val="002A179F"/>
    <w:rsid w:val="002A2E79"/>
    <w:rsid w:val="002A3521"/>
    <w:rsid w:val="002A356B"/>
    <w:rsid w:val="002A3E45"/>
    <w:rsid w:val="002A438F"/>
    <w:rsid w:val="002A4A83"/>
    <w:rsid w:val="002A4F5F"/>
    <w:rsid w:val="002A5480"/>
    <w:rsid w:val="002A6C69"/>
    <w:rsid w:val="002A7198"/>
    <w:rsid w:val="002A7FB3"/>
    <w:rsid w:val="002B00C2"/>
    <w:rsid w:val="002B0610"/>
    <w:rsid w:val="002B0991"/>
    <w:rsid w:val="002B173A"/>
    <w:rsid w:val="002B1C72"/>
    <w:rsid w:val="002B6138"/>
    <w:rsid w:val="002B7738"/>
    <w:rsid w:val="002C2337"/>
    <w:rsid w:val="002C2587"/>
    <w:rsid w:val="002C2E70"/>
    <w:rsid w:val="002C2E92"/>
    <w:rsid w:val="002C34D1"/>
    <w:rsid w:val="002C3757"/>
    <w:rsid w:val="002C4426"/>
    <w:rsid w:val="002C51B5"/>
    <w:rsid w:val="002C62F5"/>
    <w:rsid w:val="002C6B78"/>
    <w:rsid w:val="002C7D0C"/>
    <w:rsid w:val="002D052E"/>
    <w:rsid w:val="002D0C33"/>
    <w:rsid w:val="002D1532"/>
    <w:rsid w:val="002D1A6F"/>
    <w:rsid w:val="002D2B30"/>
    <w:rsid w:val="002D340B"/>
    <w:rsid w:val="002D3636"/>
    <w:rsid w:val="002D3CD3"/>
    <w:rsid w:val="002D5183"/>
    <w:rsid w:val="002D5E56"/>
    <w:rsid w:val="002D601D"/>
    <w:rsid w:val="002D7D8D"/>
    <w:rsid w:val="002E0163"/>
    <w:rsid w:val="002E1C5E"/>
    <w:rsid w:val="002E2987"/>
    <w:rsid w:val="002E3224"/>
    <w:rsid w:val="002E3F18"/>
    <w:rsid w:val="002E5A92"/>
    <w:rsid w:val="002E6727"/>
    <w:rsid w:val="002F16F8"/>
    <w:rsid w:val="002F40F0"/>
    <w:rsid w:val="002F5122"/>
    <w:rsid w:val="002F54ED"/>
    <w:rsid w:val="002F764E"/>
    <w:rsid w:val="0030080D"/>
    <w:rsid w:val="00301010"/>
    <w:rsid w:val="003012F1"/>
    <w:rsid w:val="00303CC6"/>
    <w:rsid w:val="00304CFF"/>
    <w:rsid w:val="003057E0"/>
    <w:rsid w:val="00305C33"/>
    <w:rsid w:val="003065B6"/>
    <w:rsid w:val="003075A2"/>
    <w:rsid w:val="00310104"/>
    <w:rsid w:val="00310431"/>
    <w:rsid w:val="00312705"/>
    <w:rsid w:val="00312DB0"/>
    <w:rsid w:val="00313237"/>
    <w:rsid w:val="003135F4"/>
    <w:rsid w:val="00313BC6"/>
    <w:rsid w:val="00313DCF"/>
    <w:rsid w:val="00316999"/>
    <w:rsid w:val="003169CD"/>
    <w:rsid w:val="00317E3C"/>
    <w:rsid w:val="00320B39"/>
    <w:rsid w:val="003240CD"/>
    <w:rsid w:val="0032436C"/>
    <w:rsid w:val="003267D3"/>
    <w:rsid w:val="00327D37"/>
    <w:rsid w:val="00330B73"/>
    <w:rsid w:val="0033184B"/>
    <w:rsid w:val="003321D8"/>
    <w:rsid w:val="003328D7"/>
    <w:rsid w:val="00334E7B"/>
    <w:rsid w:val="00337427"/>
    <w:rsid w:val="00340272"/>
    <w:rsid w:val="00340BA6"/>
    <w:rsid w:val="00340BD1"/>
    <w:rsid w:val="00341648"/>
    <w:rsid w:val="00342372"/>
    <w:rsid w:val="003433DD"/>
    <w:rsid w:val="00344FCD"/>
    <w:rsid w:val="00346F08"/>
    <w:rsid w:val="0034782E"/>
    <w:rsid w:val="00347AE9"/>
    <w:rsid w:val="003502A3"/>
    <w:rsid w:val="003503B3"/>
    <w:rsid w:val="0035148D"/>
    <w:rsid w:val="00351663"/>
    <w:rsid w:val="00352294"/>
    <w:rsid w:val="00352872"/>
    <w:rsid w:val="003548E2"/>
    <w:rsid w:val="00354B51"/>
    <w:rsid w:val="003557A0"/>
    <w:rsid w:val="00355E9D"/>
    <w:rsid w:val="00356452"/>
    <w:rsid w:val="0035645A"/>
    <w:rsid w:val="003571BC"/>
    <w:rsid w:val="003604C9"/>
    <w:rsid w:val="00360A47"/>
    <w:rsid w:val="00361016"/>
    <w:rsid w:val="00361501"/>
    <w:rsid w:val="00363DCF"/>
    <w:rsid w:val="0036474F"/>
    <w:rsid w:val="00364E71"/>
    <w:rsid w:val="003654BD"/>
    <w:rsid w:val="00365EEA"/>
    <w:rsid w:val="00366DAB"/>
    <w:rsid w:val="00370751"/>
    <w:rsid w:val="0037228C"/>
    <w:rsid w:val="00373026"/>
    <w:rsid w:val="00375CEB"/>
    <w:rsid w:val="00375D90"/>
    <w:rsid w:val="003776BB"/>
    <w:rsid w:val="0037779F"/>
    <w:rsid w:val="00377E2D"/>
    <w:rsid w:val="003809B9"/>
    <w:rsid w:val="00381D11"/>
    <w:rsid w:val="00381DD7"/>
    <w:rsid w:val="00382592"/>
    <w:rsid w:val="0038479F"/>
    <w:rsid w:val="00387582"/>
    <w:rsid w:val="003877BD"/>
    <w:rsid w:val="00387E2F"/>
    <w:rsid w:val="003900FD"/>
    <w:rsid w:val="003908F0"/>
    <w:rsid w:val="00390B69"/>
    <w:rsid w:val="003924A8"/>
    <w:rsid w:val="0039269E"/>
    <w:rsid w:val="0039286A"/>
    <w:rsid w:val="00392EEA"/>
    <w:rsid w:val="003930C4"/>
    <w:rsid w:val="003935AA"/>
    <w:rsid w:val="00393BDF"/>
    <w:rsid w:val="003941CD"/>
    <w:rsid w:val="00394337"/>
    <w:rsid w:val="00395361"/>
    <w:rsid w:val="003955BD"/>
    <w:rsid w:val="0039603B"/>
    <w:rsid w:val="0039676E"/>
    <w:rsid w:val="003A074D"/>
    <w:rsid w:val="003A1969"/>
    <w:rsid w:val="003A349B"/>
    <w:rsid w:val="003A419A"/>
    <w:rsid w:val="003A4682"/>
    <w:rsid w:val="003A4750"/>
    <w:rsid w:val="003A4AF4"/>
    <w:rsid w:val="003A589C"/>
    <w:rsid w:val="003A5B5C"/>
    <w:rsid w:val="003A7446"/>
    <w:rsid w:val="003A7ED0"/>
    <w:rsid w:val="003B02EB"/>
    <w:rsid w:val="003B097A"/>
    <w:rsid w:val="003B1DDD"/>
    <w:rsid w:val="003B3EEB"/>
    <w:rsid w:val="003B3FB0"/>
    <w:rsid w:val="003B469D"/>
    <w:rsid w:val="003B4F30"/>
    <w:rsid w:val="003B6144"/>
    <w:rsid w:val="003B6372"/>
    <w:rsid w:val="003B6384"/>
    <w:rsid w:val="003B6812"/>
    <w:rsid w:val="003C0A10"/>
    <w:rsid w:val="003C25BB"/>
    <w:rsid w:val="003C32FA"/>
    <w:rsid w:val="003C37A6"/>
    <w:rsid w:val="003C3A33"/>
    <w:rsid w:val="003C4347"/>
    <w:rsid w:val="003C4A11"/>
    <w:rsid w:val="003C5DB9"/>
    <w:rsid w:val="003D08F0"/>
    <w:rsid w:val="003D0BAE"/>
    <w:rsid w:val="003D10F6"/>
    <w:rsid w:val="003D2F2C"/>
    <w:rsid w:val="003D3B5A"/>
    <w:rsid w:val="003D4553"/>
    <w:rsid w:val="003D47F9"/>
    <w:rsid w:val="003D4A90"/>
    <w:rsid w:val="003D6D0A"/>
    <w:rsid w:val="003E114A"/>
    <w:rsid w:val="003E140E"/>
    <w:rsid w:val="003E45F4"/>
    <w:rsid w:val="003E4D36"/>
    <w:rsid w:val="003E50DF"/>
    <w:rsid w:val="003E52D3"/>
    <w:rsid w:val="003E6C64"/>
    <w:rsid w:val="003E6D71"/>
    <w:rsid w:val="003E7262"/>
    <w:rsid w:val="003E7EC2"/>
    <w:rsid w:val="003F00BB"/>
    <w:rsid w:val="003F10AD"/>
    <w:rsid w:val="003F23DA"/>
    <w:rsid w:val="003F4435"/>
    <w:rsid w:val="003F4EC6"/>
    <w:rsid w:val="003F6270"/>
    <w:rsid w:val="003F69B0"/>
    <w:rsid w:val="003F7E75"/>
    <w:rsid w:val="00400351"/>
    <w:rsid w:val="00400DF3"/>
    <w:rsid w:val="0040310A"/>
    <w:rsid w:val="00404802"/>
    <w:rsid w:val="00406542"/>
    <w:rsid w:val="004072D7"/>
    <w:rsid w:val="00410597"/>
    <w:rsid w:val="00411861"/>
    <w:rsid w:val="00412FE8"/>
    <w:rsid w:val="004142E7"/>
    <w:rsid w:val="004148F1"/>
    <w:rsid w:val="00414E68"/>
    <w:rsid w:val="00414F9F"/>
    <w:rsid w:val="0041545E"/>
    <w:rsid w:val="00415C6D"/>
    <w:rsid w:val="00416408"/>
    <w:rsid w:val="0041681B"/>
    <w:rsid w:val="0041754F"/>
    <w:rsid w:val="00417B6A"/>
    <w:rsid w:val="00420144"/>
    <w:rsid w:val="00420E5E"/>
    <w:rsid w:val="004214B0"/>
    <w:rsid w:val="00423BA1"/>
    <w:rsid w:val="0042407D"/>
    <w:rsid w:val="00424A46"/>
    <w:rsid w:val="0042560B"/>
    <w:rsid w:val="0042578F"/>
    <w:rsid w:val="004259D2"/>
    <w:rsid w:val="00425B92"/>
    <w:rsid w:val="00430496"/>
    <w:rsid w:val="0043096C"/>
    <w:rsid w:val="00431EDD"/>
    <w:rsid w:val="004321B6"/>
    <w:rsid w:val="00432424"/>
    <w:rsid w:val="00432BDD"/>
    <w:rsid w:val="0043421E"/>
    <w:rsid w:val="00434BDF"/>
    <w:rsid w:val="00437AB1"/>
    <w:rsid w:val="00440295"/>
    <w:rsid w:val="004405AA"/>
    <w:rsid w:val="00443EC9"/>
    <w:rsid w:val="00444E4D"/>
    <w:rsid w:val="00445474"/>
    <w:rsid w:val="00445667"/>
    <w:rsid w:val="004461A9"/>
    <w:rsid w:val="00446598"/>
    <w:rsid w:val="0045133F"/>
    <w:rsid w:val="0045293B"/>
    <w:rsid w:val="00452CCA"/>
    <w:rsid w:val="004539CC"/>
    <w:rsid w:val="00453EE4"/>
    <w:rsid w:val="004553A0"/>
    <w:rsid w:val="00455B61"/>
    <w:rsid w:val="00456CF9"/>
    <w:rsid w:val="00460C2C"/>
    <w:rsid w:val="0046110A"/>
    <w:rsid w:val="0046142A"/>
    <w:rsid w:val="0046293C"/>
    <w:rsid w:val="004632E1"/>
    <w:rsid w:val="004632E3"/>
    <w:rsid w:val="0046679A"/>
    <w:rsid w:val="00466E53"/>
    <w:rsid w:val="00467636"/>
    <w:rsid w:val="004707AD"/>
    <w:rsid w:val="00471784"/>
    <w:rsid w:val="0047182D"/>
    <w:rsid w:val="004726D7"/>
    <w:rsid w:val="00472FEB"/>
    <w:rsid w:val="00473066"/>
    <w:rsid w:val="004748D3"/>
    <w:rsid w:val="00475095"/>
    <w:rsid w:val="004751DA"/>
    <w:rsid w:val="00475A15"/>
    <w:rsid w:val="00476A36"/>
    <w:rsid w:val="00481759"/>
    <w:rsid w:val="00482614"/>
    <w:rsid w:val="004829B8"/>
    <w:rsid w:val="00484415"/>
    <w:rsid w:val="00484D11"/>
    <w:rsid w:val="00485692"/>
    <w:rsid w:val="00486EE7"/>
    <w:rsid w:val="00487223"/>
    <w:rsid w:val="00490298"/>
    <w:rsid w:val="0049035F"/>
    <w:rsid w:val="00492681"/>
    <w:rsid w:val="00492E26"/>
    <w:rsid w:val="00493BA2"/>
    <w:rsid w:val="0049420D"/>
    <w:rsid w:val="0049449D"/>
    <w:rsid w:val="00494777"/>
    <w:rsid w:val="00494BEB"/>
    <w:rsid w:val="00495100"/>
    <w:rsid w:val="004955E0"/>
    <w:rsid w:val="00495A26"/>
    <w:rsid w:val="00495B57"/>
    <w:rsid w:val="00495D6E"/>
    <w:rsid w:val="00495D9D"/>
    <w:rsid w:val="00497699"/>
    <w:rsid w:val="00497706"/>
    <w:rsid w:val="004A0782"/>
    <w:rsid w:val="004A1179"/>
    <w:rsid w:val="004A20F6"/>
    <w:rsid w:val="004A275D"/>
    <w:rsid w:val="004A3724"/>
    <w:rsid w:val="004A3FE9"/>
    <w:rsid w:val="004A4ACA"/>
    <w:rsid w:val="004A571A"/>
    <w:rsid w:val="004A5788"/>
    <w:rsid w:val="004A6286"/>
    <w:rsid w:val="004A7EEC"/>
    <w:rsid w:val="004B0243"/>
    <w:rsid w:val="004B0F7F"/>
    <w:rsid w:val="004B25FA"/>
    <w:rsid w:val="004B355A"/>
    <w:rsid w:val="004B4828"/>
    <w:rsid w:val="004B515C"/>
    <w:rsid w:val="004B56BA"/>
    <w:rsid w:val="004B60B9"/>
    <w:rsid w:val="004B6C04"/>
    <w:rsid w:val="004B6C7F"/>
    <w:rsid w:val="004C02B3"/>
    <w:rsid w:val="004C031F"/>
    <w:rsid w:val="004C1216"/>
    <w:rsid w:val="004C22B0"/>
    <w:rsid w:val="004C2FAB"/>
    <w:rsid w:val="004C5D25"/>
    <w:rsid w:val="004C6C0F"/>
    <w:rsid w:val="004C6CA7"/>
    <w:rsid w:val="004C7BE0"/>
    <w:rsid w:val="004D0000"/>
    <w:rsid w:val="004D0930"/>
    <w:rsid w:val="004D2088"/>
    <w:rsid w:val="004D3718"/>
    <w:rsid w:val="004D3E17"/>
    <w:rsid w:val="004D5106"/>
    <w:rsid w:val="004D5EB2"/>
    <w:rsid w:val="004D5EF9"/>
    <w:rsid w:val="004D6182"/>
    <w:rsid w:val="004D6A31"/>
    <w:rsid w:val="004D6D3A"/>
    <w:rsid w:val="004E1088"/>
    <w:rsid w:val="004E30CC"/>
    <w:rsid w:val="004E41F5"/>
    <w:rsid w:val="004E476A"/>
    <w:rsid w:val="004E546C"/>
    <w:rsid w:val="004E5EEB"/>
    <w:rsid w:val="004E636D"/>
    <w:rsid w:val="004E68B8"/>
    <w:rsid w:val="004E7DDF"/>
    <w:rsid w:val="004F21DF"/>
    <w:rsid w:val="004F5193"/>
    <w:rsid w:val="004F5225"/>
    <w:rsid w:val="004F6C35"/>
    <w:rsid w:val="004F7062"/>
    <w:rsid w:val="004F7E79"/>
    <w:rsid w:val="005003EE"/>
    <w:rsid w:val="00502659"/>
    <w:rsid w:val="005027FD"/>
    <w:rsid w:val="00503A85"/>
    <w:rsid w:val="00506B33"/>
    <w:rsid w:val="00507A01"/>
    <w:rsid w:val="0051023E"/>
    <w:rsid w:val="00511C76"/>
    <w:rsid w:val="00514848"/>
    <w:rsid w:val="00514CB3"/>
    <w:rsid w:val="005153D8"/>
    <w:rsid w:val="00515A28"/>
    <w:rsid w:val="00516C20"/>
    <w:rsid w:val="00516E88"/>
    <w:rsid w:val="00517FDE"/>
    <w:rsid w:val="00520616"/>
    <w:rsid w:val="0052098E"/>
    <w:rsid w:val="0052220A"/>
    <w:rsid w:val="00522A41"/>
    <w:rsid w:val="00523512"/>
    <w:rsid w:val="00523523"/>
    <w:rsid w:val="00523F9B"/>
    <w:rsid w:val="0052426D"/>
    <w:rsid w:val="0052485F"/>
    <w:rsid w:val="00525122"/>
    <w:rsid w:val="00527887"/>
    <w:rsid w:val="00527F53"/>
    <w:rsid w:val="00531FE7"/>
    <w:rsid w:val="005322F4"/>
    <w:rsid w:val="00532A29"/>
    <w:rsid w:val="00532CC7"/>
    <w:rsid w:val="00533995"/>
    <w:rsid w:val="0053466E"/>
    <w:rsid w:val="00534CDF"/>
    <w:rsid w:val="0053654C"/>
    <w:rsid w:val="0053696A"/>
    <w:rsid w:val="00536993"/>
    <w:rsid w:val="00536AFD"/>
    <w:rsid w:val="0053757D"/>
    <w:rsid w:val="00537D3D"/>
    <w:rsid w:val="005401E4"/>
    <w:rsid w:val="00540C08"/>
    <w:rsid w:val="00541091"/>
    <w:rsid w:val="00541C99"/>
    <w:rsid w:val="005422E0"/>
    <w:rsid w:val="0054291F"/>
    <w:rsid w:val="005444F1"/>
    <w:rsid w:val="00545712"/>
    <w:rsid w:val="0054612A"/>
    <w:rsid w:val="00546256"/>
    <w:rsid w:val="0054656F"/>
    <w:rsid w:val="00547860"/>
    <w:rsid w:val="0055098B"/>
    <w:rsid w:val="00550F6C"/>
    <w:rsid w:val="00550F84"/>
    <w:rsid w:val="00551C44"/>
    <w:rsid w:val="00552973"/>
    <w:rsid w:val="00553194"/>
    <w:rsid w:val="005542E9"/>
    <w:rsid w:val="005545A9"/>
    <w:rsid w:val="00554CA2"/>
    <w:rsid w:val="005555BE"/>
    <w:rsid w:val="0055603E"/>
    <w:rsid w:val="00556150"/>
    <w:rsid w:val="005568F3"/>
    <w:rsid w:val="00557ED9"/>
    <w:rsid w:val="00560C2D"/>
    <w:rsid w:val="00560D92"/>
    <w:rsid w:val="00562902"/>
    <w:rsid w:val="00563715"/>
    <w:rsid w:val="00563B4C"/>
    <w:rsid w:val="00563F28"/>
    <w:rsid w:val="00564215"/>
    <w:rsid w:val="005643A9"/>
    <w:rsid w:val="005647E9"/>
    <w:rsid w:val="00566701"/>
    <w:rsid w:val="005674A2"/>
    <w:rsid w:val="00570DA4"/>
    <w:rsid w:val="00570E39"/>
    <w:rsid w:val="00572327"/>
    <w:rsid w:val="00572CF1"/>
    <w:rsid w:val="0057388B"/>
    <w:rsid w:val="0057401A"/>
    <w:rsid w:val="00574FA5"/>
    <w:rsid w:val="00575B1B"/>
    <w:rsid w:val="005761CD"/>
    <w:rsid w:val="00577B6B"/>
    <w:rsid w:val="00580AAC"/>
    <w:rsid w:val="00580E14"/>
    <w:rsid w:val="00581206"/>
    <w:rsid w:val="005815BF"/>
    <w:rsid w:val="00583A94"/>
    <w:rsid w:val="00583C6B"/>
    <w:rsid w:val="00584A83"/>
    <w:rsid w:val="00584B13"/>
    <w:rsid w:val="00585713"/>
    <w:rsid w:val="005860ED"/>
    <w:rsid w:val="00586869"/>
    <w:rsid w:val="00586A96"/>
    <w:rsid w:val="00586DC5"/>
    <w:rsid w:val="00587FDF"/>
    <w:rsid w:val="00590950"/>
    <w:rsid w:val="00590C79"/>
    <w:rsid w:val="00591E73"/>
    <w:rsid w:val="005930E4"/>
    <w:rsid w:val="00593FD8"/>
    <w:rsid w:val="005948FC"/>
    <w:rsid w:val="00594E52"/>
    <w:rsid w:val="00595E51"/>
    <w:rsid w:val="00596FB6"/>
    <w:rsid w:val="005978FD"/>
    <w:rsid w:val="005A0387"/>
    <w:rsid w:val="005A0411"/>
    <w:rsid w:val="005A0C94"/>
    <w:rsid w:val="005A2DEF"/>
    <w:rsid w:val="005A41DE"/>
    <w:rsid w:val="005A7A9E"/>
    <w:rsid w:val="005B0A1A"/>
    <w:rsid w:val="005B0D94"/>
    <w:rsid w:val="005B14B6"/>
    <w:rsid w:val="005B1EED"/>
    <w:rsid w:val="005B22CB"/>
    <w:rsid w:val="005B4D5B"/>
    <w:rsid w:val="005B5354"/>
    <w:rsid w:val="005B5382"/>
    <w:rsid w:val="005B68C6"/>
    <w:rsid w:val="005B77E8"/>
    <w:rsid w:val="005C042D"/>
    <w:rsid w:val="005C07CE"/>
    <w:rsid w:val="005C21E3"/>
    <w:rsid w:val="005C27FF"/>
    <w:rsid w:val="005C2D33"/>
    <w:rsid w:val="005C3636"/>
    <w:rsid w:val="005C3AB0"/>
    <w:rsid w:val="005C3E33"/>
    <w:rsid w:val="005C3ED3"/>
    <w:rsid w:val="005C520B"/>
    <w:rsid w:val="005C615C"/>
    <w:rsid w:val="005C69F1"/>
    <w:rsid w:val="005C771C"/>
    <w:rsid w:val="005D023D"/>
    <w:rsid w:val="005D1E42"/>
    <w:rsid w:val="005D2000"/>
    <w:rsid w:val="005D2273"/>
    <w:rsid w:val="005D3216"/>
    <w:rsid w:val="005D604F"/>
    <w:rsid w:val="005D6E30"/>
    <w:rsid w:val="005D73C1"/>
    <w:rsid w:val="005D76D5"/>
    <w:rsid w:val="005D7BF7"/>
    <w:rsid w:val="005E0D17"/>
    <w:rsid w:val="005E39AA"/>
    <w:rsid w:val="005E3ACD"/>
    <w:rsid w:val="005E3EF6"/>
    <w:rsid w:val="005E5056"/>
    <w:rsid w:val="005E62D9"/>
    <w:rsid w:val="005E70F3"/>
    <w:rsid w:val="005E7648"/>
    <w:rsid w:val="005F048B"/>
    <w:rsid w:val="005F05E4"/>
    <w:rsid w:val="005F0ED2"/>
    <w:rsid w:val="005F105A"/>
    <w:rsid w:val="005F1CAF"/>
    <w:rsid w:val="005F2ABE"/>
    <w:rsid w:val="005F3012"/>
    <w:rsid w:val="005F37E2"/>
    <w:rsid w:val="005F3B58"/>
    <w:rsid w:val="005F47AE"/>
    <w:rsid w:val="006017AE"/>
    <w:rsid w:val="00603DC5"/>
    <w:rsid w:val="00605976"/>
    <w:rsid w:val="00607D58"/>
    <w:rsid w:val="00611BB0"/>
    <w:rsid w:val="00611D26"/>
    <w:rsid w:val="0061439B"/>
    <w:rsid w:val="0061442E"/>
    <w:rsid w:val="00614AC3"/>
    <w:rsid w:val="00615007"/>
    <w:rsid w:val="006151F1"/>
    <w:rsid w:val="00615A33"/>
    <w:rsid w:val="00616254"/>
    <w:rsid w:val="00616BE5"/>
    <w:rsid w:val="0061765F"/>
    <w:rsid w:val="0062059E"/>
    <w:rsid w:val="00622493"/>
    <w:rsid w:val="00622AF5"/>
    <w:rsid w:val="006236E1"/>
    <w:rsid w:val="006236EB"/>
    <w:rsid w:val="0062386B"/>
    <w:rsid w:val="0062439A"/>
    <w:rsid w:val="0062521D"/>
    <w:rsid w:val="006259D5"/>
    <w:rsid w:val="00625D2F"/>
    <w:rsid w:val="006275F7"/>
    <w:rsid w:val="00627B2E"/>
    <w:rsid w:val="00627ED1"/>
    <w:rsid w:val="00627EE6"/>
    <w:rsid w:val="0063401E"/>
    <w:rsid w:val="006343E9"/>
    <w:rsid w:val="00635805"/>
    <w:rsid w:val="00636DF0"/>
    <w:rsid w:val="00637792"/>
    <w:rsid w:val="00637940"/>
    <w:rsid w:val="006379D8"/>
    <w:rsid w:val="00640534"/>
    <w:rsid w:val="00640FF0"/>
    <w:rsid w:val="00641028"/>
    <w:rsid w:val="006419A6"/>
    <w:rsid w:val="00641DBB"/>
    <w:rsid w:val="006426A7"/>
    <w:rsid w:val="0064408C"/>
    <w:rsid w:val="006443CF"/>
    <w:rsid w:val="0064489F"/>
    <w:rsid w:val="00646E55"/>
    <w:rsid w:val="0064729F"/>
    <w:rsid w:val="006503BF"/>
    <w:rsid w:val="00651009"/>
    <w:rsid w:val="0065147D"/>
    <w:rsid w:val="006544BF"/>
    <w:rsid w:val="00654803"/>
    <w:rsid w:val="0065581C"/>
    <w:rsid w:val="00656AC5"/>
    <w:rsid w:val="006571B5"/>
    <w:rsid w:val="00660994"/>
    <w:rsid w:val="00660C88"/>
    <w:rsid w:val="00660E01"/>
    <w:rsid w:val="00661B53"/>
    <w:rsid w:val="00662963"/>
    <w:rsid w:val="00662A3C"/>
    <w:rsid w:val="00664CF4"/>
    <w:rsid w:val="00665E38"/>
    <w:rsid w:val="00666D6D"/>
    <w:rsid w:val="006673BF"/>
    <w:rsid w:val="006674FE"/>
    <w:rsid w:val="00670346"/>
    <w:rsid w:val="00670509"/>
    <w:rsid w:val="00670D1D"/>
    <w:rsid w:val="00670ECD"/>
    <w:rsid w:val="00671217"/>
    <w:rsid w:val="006712F7"/>
    <w:rsid w:val="006720B2"/>
    <w:rsid w:val="006720BD"/>
    <w:rsid w:val="00672AC4"/>
    <w:rsid w:val="0067373F"/>
    <w:rsid w:val="00674FC5"/>
    <w:rsid w:val="0067673F"/>
    <w:rsid w:val="006768F4"/>
    <w:rsid w:val="00680373"/>
    <w:rsid w:val="00680B2A"/>
    <w:rsid w:val="00681BBE"/>
    <w:rsid w:val="00682DBA"/>
    <w:rsid w:val="00682F53"/>
    <w:rsid w:val="00683ABB"/>
    <w:rsid w:val="0068457A"/>
    <w:rsid w:val="00684936"/>
    <w:rsid w:val="00684B52"/>
    <w:rsid w:val="00686D8A"/>
    <w:rsid w:val="00687584"/>
    <w:rsid w:val="0069040C"/>
    <w:rsid w:val="00691CB0"/>
    <w:rsid w:val="00691E5D"/>
    <w:rsid w:val="006932C9"/>
    <w:rsid w:val="00693A4E"/>
    <w:rsid w:val="00693C3C"/>
    <w:rsid w:val="006941A5"/>
    <w:rsid w:val="0069444C"/>
    <w:rsid w:val="0069534A"/>
    <w:rsid w:val="006953D2"/>
    <w:rsid w:val="0069587F"/>
    <w:rsid w:val="00696DA2"/>
    <w:rsid w:val="00697212"/>
    <w:rsid w:val="006972F0"/>
    <w:rsid w:val="006A1654"/>
    <w:rsid w:val="006A2B00"/>
    <w:rsid w:val="006A35C7"/>
    <w:rsid w:val="006A3A33"/>
    <w:rsid w:val="006A3B44"/>
    <w:rsid w:val="006A3D8D"/>
    <w:rsid w:val="006A519E"/>
    <w:rsid w:val="006A53F3"/>
    <w:rsid w:val="006A5A78"/>
    <w:rsid w:val="006A747B"/>
    <w:rsid w:val="006A7FC3"/>
    <w:rsid w:val="006B0E42"/>
    <w:rsid w:val="006B35ED"/>
    <w:rsid w:val="006B3C88"/>
    <w:rsid w:val="006B5241"/>
    <w:rsid w:val="006B5AC8"/>
    <w:rsid w:val="006B6FB9"/>
    <w:rsid w:val="006B7005"/>
    <w:rsid w:val="006C0AE0"/>
    <w:rsid w:val="006C1DAE"/>
    <w:rsid w:val="006C29FC"/>
    <w:rsid w:val="006C32F3"/>
    <w:rsid w:val="006C3432"/>
    <w:rsid w:val="006C3977"/>
    <w:rsid w:val="006C46BD"/>
    <w:rsid w:val="006C5164"/>
    <w:rsid w:val="006C7B87"/>
    <w:rsid w:val="006C7DCC"/>
    <w:rsid w:val="006D00E3"/>
    <w:rsid w:val="006D06BC"/>
    <w:rsid w:val="006D13CB"/>
    <w:rsid w:val="006D1807"/>
    <w:rsid w:val="006D2902"/>
    <w:rsid w:val="006D5B9F"/>
    <w:rsid w:val="006D7801"/>
    <w:rsid w:val="006E0BCA"/>
    <w:rsid w:val="006E1109"/>
    <w:rsid w:val="006E4666"/>
    <w:rsid w:val="006E57C1"/>
    <w:rsid w:val="006E6057"/>
    <w:rsid w:val="006E68F2"/>
    <w:rsid w:val="006E6BF6"/>
    <w:rsid w:val="006E6D06"/>
    <w:rsid w:val="006E73ED"/>
    <w:rsid w:val="006E75C4"/>
    <w:rsid w:val="006E7B02"/>
    <w:rsid w:val="006E7E21"/>
    <w:rsid w:val="006F0864"/>
    <w:rsid w:val="006F163E"/>
    <w:rsid w:val="006F2260"/>
    <w:rsid w:val="006F29F5"/>
    <w:rsid w:val="006F3CD5"/>
    <w:rsid w:val="006F4B7A"/>
    <w:rsid w:val="006F553C"/>
    <w:rsid w:val="006F5D99"/>
    <w:rsid w:val="006F68E2"/>
    <w:rsid w:val="006F782F"/>
    <w:rsid w:val="006F7B83"/>
    <w:rsid w:val="007013FF"/>
    <w:rsid w:val="0070474C"/>
    <w:rsid w:val="00704AC7"/>
    <w:rsid w:val="00705321"/>
    <w:rsid w:val="007067CF"/>
    <w:rsid w:val="0070685C"/>
    <w:rsid w:val="00706A33"/>
    <w:rsid w:val="007070C1"/>
    <w:rsid w:val="00707D49"/>
    <w:rsid w:val="00707FF4"/>
    <w:rsid w:val="00711706"/>
    <w:rsid w:val="00711730"/>
    <w:rsid w:val="00712251"/>
    <w:rsid w:val="00712D9B"/>
    <w:rsid w:val="007130EC"/>
    <w:rsid w:val="00713C40"/>
    <w:rsid w:val="007146B3"/>
    <w:rsid w:val="00714E07"/>
    <w:rsid w:val="00716541"/>
    <w:rsid w:val="00720386"/>
    <w:rsid w:val="00720DD8"/>
    <w:rsid w:val="0072109C"/>
    <w:rsid w:val="007212B9"/>
    <w:rsid w:val="00722113"/>
    <w:rsid w:val="007222D3"/>
    <w:rsid w:val="0072365F"/>
    <w:rsid w:val="00733AD2"/>
    <w:rsid w:val="00734455"/>
    <w:rsid w:val="007345EB"/>
    <w:rsid w:val="00734C20"/>
    <w:rsid w:val="00734F4B"/>
    <w:rsid w:val="00736A0B"/>
    <w:rsid w:val="007371EE"/>
    <w:rsid w:val="007373B6"/>
    <w:rsid w:val="0074059D"/>
    <w:rsid w:val="00740A05"/>
    <w:rsid w:val="00742D47"/>
    <w:rsid w:val="00743080"/>
    <w:rsid w:val="007440D6"/>
    <w:rsid w:val="007521C7"/>
    <w:rsid w:val="007553B2"/>
    <w:rsid w:val="007562CE"/>
    <w:rsid w:val="0075650E"/>
    <w:rsid w:val="00756B70"/>
    <w:rsid w:val="00760865"/>
    <w:rsid w:val="00760AD6"/>
    <w:rsid w:val="00761F61"/>
    <w:rsid w:val="00762D0B"/>
    <w:rsid w:val="00763F3D"/>
    <w:rsid w:val="00764440"/>
    <w:rsid w:val="007645F4"/>
    <w:rsid w:val="00764E77"/>
    <w:rsid w:val="00767E74"/>
    <w:rsid w:val="007703A5"/>
    <w:rsid w:val="00770442"/>
    <w:rsid w:val="007708D8"/>
    <w:rsid w:val="007725CF"/>
    <w:rsid w:val="00772E3A"/>
    <w:rsid w:val="00773504"/>
    <w:rsid w:val="007735BA"/>
    <w:rsid w:val="00774FA1"/>
    <w:rsid w:val="00775931"/>
    <w:rsid w:val="00776172"/>
    <w:rsid w:val="00776A6F"/>
    <w:rsid w:val="00777701"/>
    <w:rsid w:val="0078070D"/>
    <w:rsid w:val="00780D52"/>
    <w:rsid w:val="00780FCD"/>
    <w:rsid w:val="00781977"/>
    <w:rsid w:val="00782373"/>
    <w:rsid w:val="00784734"/>
    <w:rsid w:val="007878D3"/>
    <w:rsid w:val="007905B8"/>
    <w:rsid w:val="00790C47"/>
    <w:rsid w:val="00791813"/>
    <w:rsid w:val="007953CB"/>
    <w:rsid w:val="0079756F"/>
    <w:rsid w:val="00797F95"/>
    <w:rsid w:val="007A1217"/>
    <w:rsid w:val="007A1BC0"/>
    <w:rsid w:val="007A1BDE"/>
    <w:rsid w:val="007A1FCA"/>
    <w:rsid w:val="007A2A83"/>
    <w:rsid w:val="007A2AE0"/>
    <w:rsid w:val="007A4061"/>
    <w:rsid w:val="007A4E95"/>
    <w:rsid w:val="007A5925"/>
    <w:rsid w:val="007A60C6"/>
    <w:rsid w:val="007A6365"/>
    <w:rsid w:val="007B1177"/>
    <w:rsid w:val="007B1A3E"/>
    <w:rsid w:val="007B259B"/>
    <w:rsid w:val="007B2B11"/>
    <w:rsid w:val="007B30BC"/>
    <w:rsid w:val="007B3C42"/>
    <w:rsid w:val="007B6B8A"/>
    <w:rsid w:val="007B74F0"/>
    <w:rsid w:val="007B7751"/>
    <w:rsid w:val="007C01AB"/>
    <w:rsid w:val="007C02DA"/>
    <w:rsid w:val="007C02FA"/>
    <w:rsid w:val="007C2C53"/>
    <w:rsid w:val="007C2E94"/>
    <w:rsid w:val="007C39AF"/>
    <w:rsid w:val="007C3B5F"/>
    <w:rsid w:val="007C425A"/>
    <w:rsid w:val="007C538C"/>
    <w:rsid w:val="007C58CD"/>
    <w:rsid w:val="007C6384"/>
    <w:rsid w:val="007C6C4C"/>
    <w:rsid w:val="007C7AC3"/>
    <w:rsid w:val="007D0263"/>
    <w:rsid w:val="007D03C6"/>
    <w:rsid w:val="007D0520"/>
    <w:rsid w:val="007D0BE7"/>
    <w:rsid w:val="007D0CB0"/>
    <w:rsid w:val="007D1B84"/>
    <w:rsid w:val="007D25FD"/>
    <w:rsid w:val="007D3CDF"/>
    <w:rsid w:val="007D5D96"/>
    <w:rsid w:val="007D6619"/>
    <w:rsid w:val="007D66B1"/>
    <w:rsid w:val="007D67A8"/>
    <w:rsid w:val="007D6C5B"/>
    <w:rsid w:val="007D755C"/>
    <w:rsid w:val="007E01B1"/>
    <w:rsid w:val="007E0707"/>
    <w:rsid w:val="007E0C55"/>
    <w:rsid w:val="007E17BB"/>
    <w:rsid w:val="007E195E"/>
    <w:rsid w:val="007E29C2"/>
    <w:rsid w:val="007E3347"/>
    <w:rsid w:val="007E35B0"/>
    <w:rsid w:val="007E4BAC"/>
    <w:rsid w:val="007E63BC"/>
    <w:rsid w:val="007E76C4"/>
    <w:rsid w:val="007F046A"/>
    <w:rsid w:val="007F0833"/>
    <w:rsid w:val="007F0AC4"/>
    <w:rsid w:val="007F10F7"/>
    <w:rsid w:val="007F15A9"/>
    <w:rsid w:val="007F1899"/>
    <w:rsid w:val="007F5783"/>
    <w:rsid w:val="007F614E"/>
    <w:rsid w:val="007F6D78"/>
    <w:rsid w:val="007F74AA"/>
    <w:rsid w:val="00800273"/>
    <w:rsid w:val="00800674"/>
    <w:rsid w:val="008007A4"/>
    <w:rsid w:val="008017A9"/>
    <w:rsid w:val="00801DF7"/>
    <w:rsid w:val="0080364E"/>
    <w:rsid w:val="00803BF3"/>
    <w:rsid w:val="00803DE4"/>
    <w:rsid w:val="0080514A"/>
    <w:rsid w:val="008051C3"/>
    <w:rsid w:val="00805C30"/>
    <w:rsid w:val="00805EE3"/>
    <w:rsid w:val="0081029A"/>
    <w:rsid w:val="00810AE3"/>
    <w:rsid w:val="008113AA"/>
    <w:rsid w:val="00811692"/>
    <w:rsid w:val="00811EBC"/>
    <w:rsid w:val="0081281D"/>
    <w:rsid w:val="008136E9"/>
    <w:rsid w:val="00813B9D"/>
    <w:rsid w:val="008144F2"/>
    <w:rsid w:val="00817649"/>
    <w:rsid w:val="00817733"/>
    <w:rsid w:val="00817754"/>
    <w:rsid w:val="00817D30"/>
    <w:rsid w:val="008215C6"/>
    <w:rsid w:val="00822735"/>
    <w:rsid w:val="00824379"/>
    <w:rsid w:val="00824411"/>
    <w:rsid w:val="00824448"/>
    <w:rsid w:val="00824F8D"/>
    <w:rsid w:val="0082535D"/>
    <w:rsid w:val="00826365"/>
    <w:rsid w:val="008264C9"/>
    <w:rsid w:val="00826C5F"/>
    <w:rsid w:val="008271BD"/>
    <w:rsid w:val="0082736B"/>
    <w:rsid w:val="00827376"/>
    <w:rsid w:val="00831C60"/>
    <w:rsid w:val="00832DFB"/>
    <w:rsid w:val="008333AA"/>
    <w:rsid w:val="0083375C"/>
    <w:rsid w:val="008351F5"/>
    <w:rsid w:val="008355A8"/>
    <w:rsid w:val="00835987"/>
    <w:rsid w:val="00836F02"/>
    <w:rsid w:val="00836FBC"/>
    <w:rsid w:val="00837E2B"/>
    <w:rsid w:val="00843B88"/>
    <w:rsid w:val="00844382"/>
    <w:rsid w:val="00844672"/>
    <w:rsid w:val="008454BB"/>
    <w:rsid w:val="0085092E"/>
    <w:rsid w:val="008525A9"/>
    <w:rsid w:val="00854051"/>
    <w:rsid w:val="0085423C"/>
    <w:rsid w:val="00854C61"/>
    <w:rsid w:val="008552C6"/>
    <w:rsid w:val="008553FC"/>
    <w:rsid w:val="00856AB9"/>
    <w:rsid w:val="00856E17"/>
    <w:rsid w:val="00857FDD"/>
    <w:rsid w:val="00860180"/>
    <w:rsid w:val="00860DE7"/>
    <w:rsid w:val="0086157C"/>
    <w:rsid w:val="008616F2"/>
    <w:rsid w:val="00861B42"/>
    <w:rsid w:val="00861EA1"/>
    <w:rsid w:val="00862072"/>
    <w:rsid w:val="008620B4"/>
    <w:rsid w:val="00862757"/>
    <w:rsid w:val="00862D5F"/>
    <w:rsid w:val="00863635"/>
    <w:rsid w:val="00864F52"/>
    <w:rsid w:val="00865D8F"/>
    <w:rsid w:val="00866006"/>
    <w:rsid w:val="00866BCA"/>
    <w:rsid w:val="00867B86"/>
    <w:rsid w:val="008723AF"/>
    <w:rsid w:val="00872492"/>
    <w:rsid w:val="00872813"/>
    <w:rsid w:val="00872AC0"/>
    <w:rsid w:val="008745EA"/>
    <w:rsid w:val="0087474F"/>
    <w:rsid w:val="00874866"/>
    <w:rsid w:val="00875287"/>
    <w:rsid w:val="008754DF"/>
    <w:rsid w:val="00875DBD"/>
    <w:rsid w:val="00876D4F"/>
    <w:rsid w:val="0088147D"/>
    <w:rsid w:val="00881EE6"/>
    <w:rsid w:val="00882953"/>
    <w:rsid w:val="00883391"/>
    <w:rsid w:val="00883E5B"/>
    <w:rsid w:val="00883E75"/>
    <w:rsid w:val="00884F45"/>
    <w:rsid w:val="00885CCC"/>
    <w:rsid w:val="00886B2B"/>
    <w:rsid w:val="00887D3C"/>
    <w:rsid w:val="008902CC"/>
    <w:rsid w:val="00890AA1"/>
    <w:rsid w:val="008912C2"/>
    <w:rsid w:val="00891B63"/>
    <w:rsid w:val="008926C9"/>
    <w:rsid w:val="008932EF"/>
    <w:rsid w:val="00893AF3"/>
    <w:rsid w:val="00894030"/>
    <w:rsid w:val="00894B7E"/>
    <w:rsid w:val="008957E3"/>
    <w:rsid w:val="008958A7"/>
    <w:rsid w:val="00896003"/>
    <w:rsid w:val="00896B31"/>
    <w:rsid w:val="008A04D7"/>
    <w:rsid w:val="008A1476"/>
    <w:rsid w:val="008A148A"/>
    <w:rsid w:val="008A1867"/>
    <w:rsid w:val="008A1F00"/>
    <w:rsid w:val="008A359A"/>
    <w:rsid w:val="008A3C25"/>
    <w:rsid w:val="008A49DF"/>
    <w:rsid w:val="008A5E74"/>
    <w:rsid w:val="008A7911"/>
    <w:rsid w:val="008A7E0C"/>
    <w:rsid w:val="008B08F0"/>
    <w:rsid w:val="008B0C95"/>
    <w:rsid w:val="008B1047"/>
    <w:rsid w:val="008B134C"/>
    <w:rsid w:val="008B1CFD"/>
    <w:rsid w:val="008B22B6"/>
    <w:rsid w:val="008B2DE7"/>
    <w:rsid w:val="008B3885"/>
    <w:rsid w:val="008B5296"/>
    <w:rsid w:val="008B67A2"/>
    <w:rsid w:val="008B68B3"/>
    <w:rsid w:val="008B77A4"/>
    <w:rsid w:val="008B77D9"/>
    <w:rsid w:val="008B7D33"/>
    <w:rsid w:val="008C04DF"/>
    <w:rsid w:val="008C1B3F"/>
    <w:rsid w:val="008C2090"/>
    <w:rsid w:val="008C2EA6"/>
    <w:rsid w:val="008C3A62"/>
    <w:rsid w:val="008C41E2"/>
    <w:rsid w:val="008C5B76"/>
    <w:rsid w:val="008C6614"/>
    <w:rsid w:val="008C6D5B"/>
    <w:rsid w:val="008C707C"/>
    <w:rsid w:val="008C72D9"/>
    <w:rsid w:val="008C7543"/>
    <w:rsid w:val="008C7A9E"/>
    <w:rsid w:val="008D0232"/>
    <w:rsid w:val="008D0318"/>
    <w:rsid w:val="008D0C71"/>
    <w:rsid w:val="008D12CE"/>
    <w:rsid w:val="008D19AF"/>
    <w:rsid w:val="008D26B4"/>
    <w:rsid w:val="008D2E8A"/>
    <w:rsid w:val="008D4577"/>
    <w:rsid w:val="008D47EA"/>
    <w:rsid w:val="008D4ABB"/>
    <w:rsid w:val="008D5E7D"/>
    <w:rsid w:val="008D67F4"/>
    <w:rsid w:val="008D6B2B"/>
    <w:rsid w:val="008D7B90"/>
    <w:rsid w:val="008D7D7F"/>
    <w:rsid w:val="008E0794"/>
    <w:rsid w:val="008E0CCD"/>
    <w:rsid w:val="008E13D4"/>
    <w:rsid w:val="008E1495"/>
    <w:rsid w:val="008E2EFE"/>
    <w:rsid w:val="008E4DE6"/>
    <w:rsid w:val="008E6CF9"/>
    <w:rsid w:val="008E74BE"/>
    <w:rsid w:val="008E7E0B"/>
    <w:rsid w:val="008E7EE4"/>
    <w:rsid w:val="008F0996"/>
    <w:rsid w:val="008F15E1"/>
    <w:rsid w:val="008F19A6"/>
    <w:rsid w:val="008F235F"/>
    <w:rsid w:val="008F3545"/>
    <w:rsid w:val="008F3992"/>
    <w:rsid w:val="008F4B6E"/>
    <w:rsid w:val="008F5AC7"/>
    <w:rsid w:val="008F5ED7"/>
    <w:rsid w:val="008F7906"/>
    <w:rsid w:val="00900510"/>
    <w:rsid w:val="00900B9F"/>
    <w:rsid w:val="009012BF"/>
    <w:rsid w:val="009023EE"/>
    <w:rsid w:val="0090274F"/>
    <w:rsid w:val="00903427"/>
    <w:rsid w:val="00905833"/>
    <w:rsid w:val="0090627E"/>
    <w:rsid w:val="009100A1"/>
    <w:rsid w:val="00911AC2"/>
    <w:rsid w:val="00912C7A"/>
    <w:rsid w:val="0091374B"/>
    <w:rsid w:val="0091401E"/>
    <w:rsid w:val="00914A8D"/>
    <w:rsid w:val="00915B56"/>
    <w:rsid w:val="00915FC2"/>
    <w:rsid w:val="00916074"/>
    <w:rsid w:val="00916636"/>
    <w:rsid w:val="00916690"/>
    <w:rsid w:val="0091712B"/>
    <w:rsid w:val="0091770F"/>
    <w:rsid w:val="00920832"/>
    <w:rsid w:val="009221A8"/>
    <w:rsid w:val="00922E22"/>
    <w:rsid w:val="00924660"/>
    <w:rsid w:val="00924ECC"/>
    <w:rsid w:val="009253CC"/>
    <w:rsid w:val="00930628"/>
    <w:rsid w:val="00932BF0"/>
    <w:rsid w:val="0093366B"/>
    <w:rsid w:val="009343D3"/>
    <w:rsid w:val="00935542"/>
    <w:rsid w:val="00936436"/>
    <w:rsid w:val="0093678F"/>
    <w:rsid w:val="00937D77"/>
    <w:rsid w:val="0094037B"/>
    <w:rsid w:val="009403EA"/>
    <w:rsid w:val="009405FE"/>
    <w:rsid w:val="00940E21"/>
    <w:rsid w:val="00942E45"/>
    <w:rsid w:val="00943C7C"/>
    <w:rsid w:val="00943E6E"/>
    <w:rsid w:val="00943E89"/>
    <w:rsid w:val="00945626"/>
    <w:rsid w:val="00945ECF"/>
    <w:rsid w:val="00946EFA"/>
    <w:rsid w:val="00950132"/>
    <w:rsid w:val="009504BF"/>
    <w:rsid w:val="0095053B"/>
    <w:rsid w:val="0095215F"/>
    <w:rsid w:val="00952513"/>
    <w:rsid w:val="009528FD"/>
    <w:rsid w:val="00953605"/>
    <w:rsid w:val="00956D24"/>
    <w:rsid w:val="00957258"/>
    <w:rsid w:val="0095771D"/>
    <w:rsid w:val="00957900"/>
    <w:rsid w:val="00960C22"/>
    <w:rsid w:val="00960D09"/>
    <w:rsid w:val="00961015"/>
    <w:rsid w:val="0096250D"/>
    <w:rsid w:val="00963395"/>
    <w:rsid w:val="009634F2"/>
    <w:rsid w:val="009637E0"/>
    <w:rsid w:val="00963840"/>
    <w:rsid w:val="009643DA"/>
    <w:rsid w:val="00964C51"/>
    <w:rsid w:val="009658C5"/>
    <w:rsid w:val="00966C5E"/>
    <w:rsid w:val="00967B14"/>
    <w:rsid w:val="00967E16"/>
    <w:rsid w:val="00971B45"/>
    <w:rsid w:val="00971D06"/>
    <w:rsid w:val="009725EA"/>
    <w:rsid w:val="00973709"/>
    <w:rsid w:val="00974ADA"/>
    <w:rsid w:val="00977598"/>
    <w:rsid w:val="0097776D"/>
    <w:rsid w:val="00977C54"/>
    <w:rsid w:val="00980F92"/>
    <w:rsid w:val="009848D8"/>
    <w:rsid w:val="00985173"/>
    <w:rsid w:val="009854EA"/>
    <w:rsid w:val="00986217"/>
    <w:rsid w:val="009866C3"/>
    <w:rsid w:val="009868B9"/>
    <w:rsid w:val="009868BB"/>
    <w:rsid w:val="00986F2F"/>
    <w:rsid w:val="0098709A"/>
    <w:rsid w:val="00987955"/>
    <w:rsid w:val="00990985"/>
    <w:rsid w:val="00990BCF"/>
    <w:rsid w:val="00990FDB"/>
    <w:rsid w:val="009919BA"/>
    <w:rsid w:val="009936EC"/>
    <w:rsid w:val="009960E3"/>
    <w:rsid w:val="009961E7"/>
    <w:rsid w:val="009A072E"/>
    <w:rsid w:val="009A07B8"/>
    <w:rsid w:val="009A13BF"/>
    <w:rsid w:val="009A163F"/>
    <w:rsid w:val="009A279F"/>
    <w:rsid w:val="009A3163"/>
    <w:rsid w:val="009A436E"/>
    <w:rsid w:val="009A4B9E"/>
    <w:rsid w:val="009A544E"/>
    <w:rsid w:val="009A6EFF"/>
    <w:rsid w:val="009A7D7E"/>
    <w:rsid w:val="009A7DF9"/>
    <w:rsid w:val="009B01E6"/>
    <w:rsid w:val="009B1725"/>
    <w:rsid w:val="009B1D23"/>
    <w:rsid w:val="009B29F4"/>
    <w:rsid w:val="009B36D8"/>
    <w:rsid w:val="009B59B8"/>
    <w:rsid w:val="009B61DD"/>
    <w:rsid w:val="009B6594"/>
    <w:rsid w:val="009B6780"/>
    <w:rsid w:val="009B74FC"/>
    <w:rsid w:val="009C0A3B"/>
    <w:rsid w:val="009C1B7E"/>
    <w:rsid w:val="009C3E21"/>
    <w:rsid w:val="009C479E"/>
    <w:rsid w:val="009C52B4"/>
    <w:rsid w:val="009C5E70"/>
    <w:rsid w:val="009C6460"/>
    <w:rsid w:val="009C6E95"/>
    <w:rsid w:val="009C6FD5"/>
    <w:rsid w:val="009C7503"/>
    <w:rsid w:val="009C7E54"/>
    <w:rsid w:val="009D0381"/>
    <w:rsid w:val="009D1C39"/>
    <w:rsid w:val="009D1FCF"/>
    <w:rsid w:val="009D22E9"/>
    <w:rsid w:val="009D336A"/>
    <w:rsid w:val="009D33F4"/>
    <w:rsid w:val="009D36C9"/>
    <w:rsid w:val="009D3BC9"/>
    <w:rsid w:val="009D431E"/>
    <w:rsid w:val="009D43ED"/>
    <w:rsid w:val="009D5A8F"/>
    <w:rsid w:val="009D6115"/>
    <w:rsid w:val="009D680C"/>
    <w:rsid w:val="009D7691"/>
    <w:rsid w:val="009D7EC1"/>
    <w:rsid w:val="009E06F0"/>
    <w:rsid w:val="009E1416"/>
    <w:rsid w:val="009E2075"/>
    <w:rsid w:val="009E26B0"/>
    <w:rsid w:val="009E2D66"/>
    <w:rsid w:val="009E3069"/>
    <w:rsid w:val="009E417B"/>
    <w:rsid w:val="009E424F"/>
    <w:rsid w:val="009E434A"/>
    <w:rsid w:val="009E477D"/>
    <w:rsid w:val="009E4E99"/>
    <w:rsid w:val="009E5591"/>
    <w:rsid w:val="009E6207"/>
    <w:rsid w:val="009E6254"/>
    <w:rsid w:val="009E70A3"/>
    <w:rsid w:val="009E779D"/>
    <w:rsid w:val="009F033D"/>
    <w:rsid w:val="009F047B"/>
    <w:rsid w:val="009F1300"/>
    <w:rsid w:val="009F1517"/>
    <w:rsid w:val="009F1B85"/>
    <w:rsid w:val="009F2BD6"/>
    <w:rsid w:val="009F37B5"/>
    <w:rsid w:val="009F3A59"/>
    <w:rsid w:val="009F4D91"/>
    <w:rsid w:val="009F4E27"/>
    <w:rsid w:val="009F4FA2"/>
    <w:rsid w:val="009F5EE7"/>
    <w:rsid w:val="009F5FA5"/>
    <w:rsid w:val="009F73AA"/>
    <w:rsid w:val="009F742C"/>
    <w:rsid w:val="009F7983"/>
    <w:rsid w:val="00A0030B"/>
    <w:rsid w:val="00A00B3E"/>
    <w:rsid w:val="00A016D3"/>
    <w:rsid w:val="00A01D97"/>
    <w:rsid w:val="00A02108"/>
    <w:rsid w:val="00A02B34"/>
    <w:rsid w:val="00A02D41"/>
    <w:rsid w:val="00A046A7"/>
    <w:rsid w:val="00A04987"/>
    <w:rsid w:val="00A04F33"/>
    <w:rsid w:val="00A05532"/>
    <w:rsid w:val="00A05E10"/>
    <w:rsid w:val="00A05E4C"/>
    <w:rsid w:val="00A05EF4"/>
    <w:rsid w:val="00A062E7"/>
    <w:rsid w:val="00A0667F"/>
    <w:rsid w:val="00A10301"/>
    <w:rsid w:val="00A11008"/>
    <w:rsid w:val="00A1154A"/>
    <w:rsid w:val="00A11724"/>
    <w:rsid w:val="00A12577"/>
    <w:rsid w:val="00A128AB"/>
    <w:rsid w:val="00A1329D"/>
    <w:rsid w:val="00A133CB"/>
    <w:rsid w:val="00A13D65"/>
    <w:rsid w:val="00A1455D"/>
    <w:rsid w:val="00A177EB"/>
    <w:rsid w:val="00A2082E"/>
    <w:rsid w:val="00A20BA1"/>
    <w:rsid w:val="00A22371"/>
    <w:rsid w:val="00A22E06"/>
    <w:rsid w:val="00A230A6"/>
    <w:rsid w:val="00A25363"/>
    <w:rsid w:val="00A2601C"/>
    <w:rsid w:val="00A2769D"/>
    <w:rsid w:val="00A27770"/>
    <w:rsid w:val="00A31AF7"/>
    <w:rsid w:val="00A31B61"/>
    <w:rsid w:val="00A32CCE"/>
    <w:rsid w:val="00A33628"/>
    <w:rsid w:val="00A347B3"/>
    <w:rsid w:val="00A3484F"/>
    <w:rsid w:val="00A364CE"/>
    <w:rsid w:val="00A377CD"/>
    <w:rsid w:val="00A37E1E"/>
    <w:rsid w:val="00A40F05"/>
    <w:rsid w:val="00A410B6"/>
    <w:rsid w:val="00A41B74"/>
    <w:rsid w:val="00A43153"/>
    <w:rsid w:val="00A4443B"/>
    <w:rsid w:val="00A45772"/>
    <w:rsid w:val="00A461DB"/>
    <w:rsid w:val="00A465BD"/>
    <w:rsid w:val="00A46B89"/>
    <w:rsid w:val="00A46CFE"/>
    <w:rsid w:val="00A47889"/>
    <w:rsid w:val="00A479C0"/>
    <w:rsid w:val="00A47A0A"/>
    <w:rsid w:val="00A47F0E"/>
    <w:rsid w:val="00A50355"/>
    <w:rsid w:val="00A5196B"/>
    <w:rsid w:val="00A5269A"/>
    <w:rsid w:val="00A5313B"/>
    <w:rsid w:val="00A53785"/>
    <w:rsid w:val="00A5444C"/>
    <w:rsid w:val="00A54BF0"/>
    <w:rsid w:val="00A556D2"/>
    <w:rsid w:val="00A55D89"/>
    <w:rsid w:val="00A5618F"/>
    <w:rsid w:val="00A57187"/>
    <w:rsid w:val="00A57C84"/>
    <w:rsid w:val="00A60C0D"/>
    <w:rsid w:val="00A62479"/>
    <w:rsid w:val="00A62628"/>
    <w:rsid w:val="00A62891"/>
    <w:rsid w:val="00A62949"/>
    <w:rsid w:val="00A638C7"/>
    <w:rsid w:val="00A6634C"/>
    <w:rsid w:val="00A666E4"/>
    <w:rsid w:val="00A66A9B"/>
    <w:rsid w:val="00A670F2"/>
    <w:rsid w:val="00A671EA"/>
    <w:rsid w:val="00A672E1"/>
    <w:rsid w:val="00A713FA"/>
    <w:rsid w:val="00A71748"/>
    <w:rsid w:val="00A7186C"/>
    <w:rsid w:val="00A71DBC"/>
    <w:rsid w:val="00A71F8A"/>
    <w:rsid w:val="00A72185"/>
    <w:rsid w:val="00A72B4C"/>
    <w:rsid w:val="00A732AF"/>
    <w:rsid w:val="00A75229"/>
    <w:rsid w:val="00A7735F"/>
    <w:rsid w:val="00A80479"/>
    <w:rsid w:val="00A80635"/>
    <w:rsid w:val="00A806C9"/>
    <w:rsid w:val="00A815E2"/>
    <w:rsid w:val="00A817CB"/>
    <w:rsid w:val="00A819AA"/>
    <w:rsid w:val="00A8296E"/>
    <w:rsid w:val="00A838A0"/>
    <w:rsid w:val="00A842F2"/>
    <w:rsid w:val="00A84305"/>
    <w:rsid w:val="00A84CC5"/>
    <w:rsid w:val="00A876FB"/>
    <w:rsid w:val="00A879AD"/>
    <w:rsid w:val="00A87A2B"/>
    <w:rsid w:val="00A905A9"/>
    <w:rsid w:val="00A90BE9"/>
    <w:rsid w:val="00A90C07"/>
    <w:rsid w:val="00A90FF6"/>
    <w:rsid w:val="00A9144E"/>
    <w:rsid w:val="00A915F1"/>
    <w:rsid w:val="00A93179"/>
    <w:rsid w:val="00A943EF"/>
    <w:rsid w:val="00A946DD"/>
    <w:rsid w:val="00A959EC"/>
    <w:rsid w:val="00A95B42"/>
    <w:rsid w:val="00A95D3A"/>
    <w:rsid w:val="00A96E69"/>
    <w:rsid w:val="00AA0EB4"/>
    <w:rsid w:val="00AA1471"/>
    <w:rsid w:val="00AA172C"/>
    <w:rsid w:val="00AA3E54"/>
    <w:rsid w:val="00AA43EB"/>
    <w:rsid w:val="00AA6073"/>
    <w:rsid w:val="00AA6EBE"/>
    <w:rsid w:val="00AA714E"/>
    <w:rsid w:val="00AA7575"/>
    <w:rsid w:val="00AB01E1"/>
    <w:rsid w:val="00AB0750"/>
    <w:rsid w:val="00AB0A6B"/>
    <w:rsid w:val="00AB13B1"/>
    <w:rsid w:val="00AB2C81"/>
    <w:rsid w:val="00AB43E1"/>
    <w:rsid w:val="00AB5380"/>
    <w:rsid w:val="00AC2EC4"/>
    <w:rsid w:val="00AC4E61"/>
    <w:rsid w:val="00AC5439"/>
    <w:rsid w:val="00AC69E4"/>
    <w:rsid w:val="00AC75D3"/>
    <w:rsid w:val="00AD1224"/>
    <w:rsid w:val="00AD1FFF"/>
    <w:rsid w:val="00AD2B5A"/>
    <w:rsid w:val="00AD4C1C"/>
    <w:rsid w:val="00AD6C4A"/>
    <w:rsid w:val="00AE0B27"/>
    <w:rsid w:val="00AE148B"/>
    <w:rsid w:val="00AE204F"/>
    <w:rsid w:val="00AE2316"/>
    <w:rsid w:val="00AE27ED"/>
    <w:rsid w:val="00AE2B44"/>
    <w:rsid w:val="00AE2F51"/>
    <w:rsid w:val="00AE3889"/>
    <w:rsid w:val="00AE39FD"/>
    <w:rsid w:val="00AE49E8"/>
    <w:rsid w:val="00AE49EA"/>
    <w:rsid w:val="00AE6C17"/>
    <w:rsid w:val="00AE7D4E"/>
    <w:rsid w:val="00AF1108"/>
    <w:rsid w:val="00AF1761"/>
    <w:rsid w:val="00AF22E5"/>
    <w:rsid w:val="00AF34C1"/>
    <w:rsid w:val="00AF3616"/>
    <w:rsid w:val="00AF3F26"/>
    <w:rsid w:val="00AF4F65"/>
    <w:rsid w:val="00AF509A"/>
    <w:rsid w:val="00AF526C"/>
    <w:rsid w:val="00AF5538"/>
    <w:rsid w:val="00AF5ADC"/>
    <w:rsid w:val="00AF6207"/>
    <w:rsid w:val="00AF64AD"/>
    <w:rsid w:val="00AF6C8F"/>
    <w:rsid w:val="00AF7160"/>
    <w:rsid w:val="00AF721C"/>
    <w:rsid w:val="00B00BA0"/>
    <w:rsid w:val="00B019ED"/>
    <w:rsid w:val="00B0539E"/>
    <w:rsid w:val="00B062C2"/>
    <w:rsid w:val="00B078A2"/>
    <w:rsid w:val="00B10420"/>
    <w:rsid w:val="00B10D63"/>
    <w:rsid w:val="00B113D5"/>
    <w:rsid w:val="00B11F27"/>
    <w:rsid w:val="00B12505"/>
    <w:rsid w:val="00B127BD"/>
    <w:rsid w:val="00B12CE3"/>
    <w:rsid w:val="00B13C28"/>
    <w:rsid w:val="00B13ED2"/>
    <w:rsid w:val="00B141AE"/>
    <w:rsid w:val="00B14213"/>
    <w:rsid w:val="00B1579E"/>
    <w:rsid w:val="00B20112"/>
    <w:rsid w:val="00B20D7F"/>
    <w:rsid w:val="00B20D86"/>
    <w:rsid w:val="00B21C39"/>
    <w:rsid w:val="00B2295B"/>
    <w:rsid w:val="00B23677"/>
    <w:rsid w:val="00B23AA3"/>
    <w:rsid w:val="00B2521A"/>
    <w:rsid w:val="00B25876"/>
    <w:rsid w:val="00B26D92"/>
    <w:rsid w:val="00B27926"/>
    <w:rsid w:val="00B30F08"/>
    <w:rsid w:val="00B325BF"/>
    <w:rsid w:val="00B334A0"/>
    <w:rsid w:val="00B33934"/>
    <w:rsid w:val="00B34E33"/>
    <w:rsid w:val="00B35DA6"/>
    <w:rsid w:val="00B40231"/>
    <w:rsid w:val="00B40DB3"/>
    <w:rsid w:val="00B42512"/>
    <w:rsid w:val="00B427B7"/>
    <w:rsid w:val="00B4295C"/>
    <w:rsid w:val="00B42D70"/>
    <w:rsid w:val="00B4482C"/>
    <w:rsid w:val="00B44D7F"/>
    <w:rsid w:val="00B452CB"/>
    <w:rsid w:val="00B46382"/>
    <w:rsid w:val="00B470FC"/>
    <w:rsid w:val="00B4795A"/>
    <w:rsid w:val="00B47975"/>
    <w:rsid w:val="00B50279"/>
    <w:rsid w:val="00B50D4B"/>
    <w:rsid w:val="00B510A8"/>
    <w:rsid w:val="00B51E5C"/>
    <w:rsid w:val="00B55658"/>
    <w:rsid w:val="00B56E37"/>
    <w:rsid w:val="00B57162"/>
    <w:rsid w:val="00B602BF"/>
    <w:rsid w:val="00B615FF"/>
    <w:rsid w:val="00B61E3D"/>
    <w:rsid w:val="00B626D8"/>
    <w:rsid w:val="00B62B42"/>
    <w:rsid w:val="00B6377D"/>
    <w:rsid w:val="00B63E9E"/>
    <w:rsid w:val="00B64F89"/>
    <w:rsid w:val="00B659AF"/>
    <w:rsid w:val="00B67225"/>
    <w:rsid w:val="00B70329"/>
    <w:rsid w:val="00B70691"/>
    <w:rsid w:val="00B71CDD"/>
    <w:rsid w:val="00B72A60"/>
    <w:rsid w:val="00B72B78"/>
    <w:rsid w:val="00B7306B"/>
    <w:rsid w:val="00B735B1"/>
    <w:rsid w:val="00B73A56"/>
    <w:rsid w:val="00B74044"/>
    <w:rsid w:val="00B744D8"/>
    <w:rsid w:val="00B75D96"/>
    <w:rsid w:val="00B75FA4"/>
    <w:rsid w:val="00B76F68"/>
    <w:rsid w:val="00B77AA4"/>
    <w:rsid w:val="00B77C59"/>
    <w:rsid w:val="00B80474"/>
    <w:rsid w:val="00B83362"/>
    <w:rsid w:val="00B840C2"/>
    <w:rsid w:val="00B85AFD"/>
    <w:rsid w:val="00B87695"/>
    <w:rsid w:val="00B87DD1"/>
    <w:rsid w:val="00B907FA"/>
    <w:rsid w:val="00B9115D"/>
    <w:rsid w:val="00B9124B"/>
    <w:rsid w:val="00B92374"/>
    <w:rsid w:val="00B92AF4"/>
    <w:rsid w:val="00B93697"/>
    <w:rsid w:val="00B939DA"/>
    <w:rsid w:val="00B944AA"/>
    <w:rsid w:val="00B95070"/>
    <w:rsid w:val="00B95618"/>
    <w:rsid w:val="00B96C57"/>
    <w:rsid w:val="00B9749F"/>
    <w:rsid w:val="00B97615"/>
    <w:rsid w:val="00B979E4"/>
    <w:rsid w:val="00B97F79"/>
    <w:rsid w:val="00BA027B"/>
    <w:rsid w:val="00BA0861"/>
    <w:rsid w:val="00BA49A3"/>
    <w:rsid w:val="00BA6654"/>
    <w:rsid w:val="00BA7E00"/>
    <w:rsid w:val="00BB0346"/>
    <w:rsid w:val="00BB061A"/>
    <w:rsid w:val="00BB0B2C"/>
    <w:rsid w:val="00BB0D76"/>
    <w:rsid w:val="00BB0DE0"/>
    <w:rsid w:val="00BB13BB"/>
    <w:rsid w:val="00BB1E52"/>
    <w:rsid w:val="00BB2FC4"/>
    <w:rsid w:val="00BB3584"/>
    <w:rsid w:val="00BB435F"/>
    <w:rsid w:val="00BB4D68"/>
    <w:rsid w:val="00BB4F9C"/>
    <w:rsid w:val="00BB5167"/>
    <w:rsid w:val="00BB5A61"/>
    <w:rsid w:val="00BB5B6E"/>
    <w:rsid w:val="00BB5E29"/>
    <w:rsid w:val="00BB6848"/>
    <w:rsid w:val="00BB75A6"/>
    <w:rsid w:val="00BC0687"/>
    <w:rsid w:val="00BC2851"/>
    <w:rsid w:val="00BC2DB9"/>
    <w:rsid w:val="00BC302D"/>
    <w:rsid w:val="00BC305B"/>
    <w:rsid w:val="00BC3D3E"/>
    <w:rsid w:val="00BC4914"/>
    <w:rsid w:val="00BC4AF2"/>
    <w:rsid w:val="00BC4B07"/>
    <w:rsid w:val="00BC4D5F"/>
    <w:rsid w:val="00BC53C2"/>
    <w:rsid w:val="00BC5471"/>
    <w:rsid w:val="00BC5958"/>
    <w:rsid w:val="00BC5B3C"/>
    <w:rsid w:val="00BC67EC"/>
    <w:rsid w:val="00BC7283"/>
    <w:rsid w:val="00BC76A7"/>
    <w:rsid w:val="00BC7AD4"/>
    <w:rsid w:val="00BC7E26"/>
    <w:rsid w:val="00BD0905"/>
    <w:rsid w:val="00BD0D96"/>
    <w:rsid w:val="00BD2A7F"/>
    <w:rsid w:val="00BD329D"/>
    <w:rsid w:val="00BD32A2"/>
    <w:rsid w:val="00BD35FA"/>
    <w:rsid w:val="00BD4281"/>
    <w:rsid w:val="00BD494B"/>
    <w:rsid w:val="00BD5F42"/>
    <w:rsid w:val="00BD6FDA"/>
    <w:rsid w:val="00BD7342"/>
    <w:rsid w:val="00BE0146"/>
    <w:rsid w:val="00BE0523"/>
    <w:rsid w:val="00BE158A"/>
    <w:rsid w:val="00BE1FED"/>
    <w:rsid w:val="00BE50BE"/>
    <w:rsid w:val="00BE5577"/>
    <w:rsid w:val="00BE6390"/>
    <w:rsid w:val="00BF09DC"/>
    <w:rsid w:val="00BF0B48"/>
    <w:rsid w:val="00BF38A9"/>
    <w:rsid w:val="00BF4069"/>
    <w:rsid w:val="00BF4C94"/>
    <w:rsid w:val="00BF603E"/>
    <w:rsid w:val="00BF69D4"/>
    <w:rsid w:val="00BF785F"/>
    <w:rsid w:val="00BF78F6"/>
    <w:rsid w:val="00C00BD4"/>
    <w:rsid w:val="00C0190A"/>
    <w:rsid w:val="00C02894"/>
    <w:rsid w:val="00C02A3E"/>
    <w:rsid w:val="00C02B33"/>
    <w:rsid w:val="00C02C60"/>
    <w:rsid w:val="00C030A5"/>
    <w:rsid w:val="00C0406E"/>
    <w:rsid w:val="00C04562"/>
    <w:rsid w:val="00C04F80"/>
    <w:rsid w:val="00C05BE2"/>
    <w:rsid w:val="00C05F1C"/>
    <w:rsid w:val="00C0734C"/>
    <w:rsid w:val="00C102BC"/>
    <w:rsid w:val="00C111EE"/>
    <w:rsid w:val="00C11BFB"/>
    <w:rsid w:val="00C12BCB"/>
    <w:rsid w:val="00C136B8"/>
    <w:rsid w:val="00C15174"/>
    <w:rsid w:val="00C1551D"/>
    <w:rsid w:val="00C16E62"/>
    <w:rsid w:val="00C17299"/>
    <w:rsid w:val="00C178A1"/>
    <w:rsid w:val="00C2048C"/>
    <w:rsid w:val="00C21A87"/>
    <w:rsid w:val="00C22D2C"/>
    <w:rsid w:val="00C23A5E"/>
    <w:rsid w:val="00C23AC6"/>
    <w:rsid w:val="00C24090"/>
    <w:rsid w:val="00C243C0"/>
    <w:rsid w:val="00C2563F"/>
    <w:rsid w:val="00C2579A"/>
    <w:rsid w:val="00C267D2"/>
    <w:rsid w:val="00C273D0"/>
    <w:rsid w:val="00C27791"/>
    <w:rsid w:val="00C30FAB"/>
    <w:rsid w:val="00C3137A"/>
    <w:rsid w:val="00C316BA"/>
    <w:rsid w:val="00C3436E"/>
    <w:rsid w:val="00C34942"/>
    <w:rsid w:val="00C34A0B"/>
    <w:rsid w:val="00C34BC9"/>
    <w:rsid w:val="00C359BF"/>
    <w:rsid w:val="00C36323"/>
    <w:rsid w:val="00C364EE"/>
    <w:rsid w:val="00C3652E"/>
    <w:rsid w:val="00C40011"/>
    <w:rsid w:val="00C402EE"/>
    <w:rsid w:val="00C40774"/>
    <w:rsid w:val="00C4137A"/>
    <w:rsid w:val="00C42492"/>
    <w:rsid w:val="00C44903"/>
    <w:rsid w:val="00C44F38"/>
    <w:rsid w:val="00C44FB7"/>
    <w:rsid w:val="00C45ED3"/>
    <w:rsid w:val="00C46369"/>
    <w:rsid w:val="00C47636"/>
    <w:rsid w:val="00C478BE"/>
    <w:rsid w:val="00C479B0"/>
    <w:rsid w:val="00C50351"/>
    <w:rsid w:val="00C51803"/>
    <w:rsid w:val="00C53207"/>
    <w:rsid w:val="00C54676"/>
    <w:rsid w:val="00C549A0"/>
    <w:rsid w:val="00C55F21"/>
    <w:rsid w:val="00C562D1"/>
    <w:rsid w:val="00C567F4"/>
    <w:rsid w:val="00C56CDC"/>
    <w:rsid w:val="00C57192"/>
    <w:rsid w:val="00C577EA"/>
    <w:rsid w:val="00C57A64"/>
    <w:rsid w:val="00C6027C"/>
    <w:rsid w:val="00C60DE7"/>
    <w:rsid w:val="00C619D8"/>
    <w:rsid w:val="00C61BDE"/>
    <w:rsid w:val="00C61F61"/>
    <w:rsid w:val="00C641C9"/>
    <w:rsid w:val="00C64219"/>
    <w:rsid w:val="00C645CB"/>
    <w:rsid w:val="00C64984"/>
    <w:rsid w:val="00C66F07"/>
    <w:rsid w:val="00C6722F"/>
    <w:rsid w:val="00C678B5"/>
    <w:rsid w:val="00C7094F"/>
    <w:rsid w:val="00C70B74"/>
    <w:rsid w:val="00C70D72"/>
    <w:rsid w:val="00C70FBC"/>
    <w:rsid w:val="00C71BD4"/>
    <w:rsid w:val="00C73899"/>
    <w:rsid w:val="00C738B4"/>
    <w:rsid w:val="00C740CC"/>
    <w:rsid w:val="00C7434A"/>
    <w:rsid w:val="00C743F2"/>
    <w:rsid w:val="00C74D39"/>
    <w:rsid w:val="00C75152"/>
    <w:rsid w:val="00C75A13"/>
    <w:rsid w:val="00C76D2A"/>
    <w:rsid w:val="00C7725B"/>
    <w:rsid w:val="00C80519"/>
    <w:rsid w:val="00C80A4D"/>
    <w:rsid w:val="00C82AE9"/>
    <w:rsid w:val="00C8342E"/>
    <w:rsid w:val="00C84E46"/>
    <w:rsid w:val="00C85622"/>
    <w:rsid w:val="00C85B59"/>
    <w:rsid w:val="00C870EE"/>
    <w:rsid w:val="00C87A12"/>
    <w:rsid w:val="00C87C48"/>
    <w:rsid w:val="00C91720"/>
    <w:rsid w:val="00C92669"/>
    <w:rsid w:val="00C930B7"/>
    <w:rsid w:val="00C934DE"/>
    <w:rsid w:val="00C939EF"/>
    <w:rsid w:val="00C941B5"/>
    <w:rsid w:val="00C94770"/>
    <w:rsid w:val="00C94BD1"/>
    <w:rsid w:val="00C9669B"/>
    <w:rsid w:val="00C96C35"/>
    <w:rsid w:val="00C9708A"/>
    <w:rsid w:val="00CA0136"/>
    <w:rsid w:val="00CA01A7"/>
    <w:rsid w:val="00CA113A"/>
    <w:rsid w:val="00CA1452"/>
    <w:rsid w:val="00CA219E"/>
    <w:rsid w:val="00CA4074"/>
    <w:rsid w:val="00CA4655"/>
    <w:rsid w:val="00CA4C1E"/>
    <w:rsid w:val="00CA52B5"/>
    <w:rsid w:val="00CA7752"/>
    <w:rsid w:val="00CA7753"/>
    <w:rsid w:val="00CA7894"/>
    <w:rsid w:val="00CB0EF5"/>
    <w:rsid w:val="00CB2857"/>
    <w:rsid w:val="00CB31EE"/>
    <w:rsid w:val="00CB32BB"/>
    <w:rsid w:val="00CB7994"/>
    <w:rsid w:val="00CB7F51"/>
    <w:rsid w:val="00CC0B7B"/>
    <w:rsid w:val="00CC0F2F"/>
    <w:rsid w:val="00CC229F"/>
    <w:rsid w:val="00CC29B4"/>
    <w:rsid w:val="00CC29F4"/>
    <w:rsid w:val="00CC3D67"/>
    <w:rsid w:val="00CC51AB"/>
    <w:rsid w:val="00CC58D3"/>
    <w:rsid w:val="00CC5D78"/>
    <w:rsid w:val="00CC5E10"/>
    <w:rsid w:val="00CC5EAD"/>
    <w:rsid w:val="00CC7094"/>
    <w:rsid w:val="00CC710C"/>
    <w:rsid w:val="00CD0498"/>
    <w:rsid w:val="00CD04A6"/>
    <w:rsid w:val="00CD13CE"/>
    <w:rsid w:val="00CD2031"/>
    <w:rsid w:val="00CD21C1"/>
    <w:rsid w:val="00CD26DE"/>
    <w:rsid w:val="00CD2B17"/>
    <w:rsid w:val="00CD2B93"/>
    <w:rsid w:val="00CD409F"/>
    <w:rsid w:val="00CD5A24"/>
    <w:rsid w:val="00CD60EA"/>
    <w:rsid w:val="00CD6FE2"/>
    <w:rsid w:val="00CD7965"/>
    <w:rsid w:val="00CE1149"/>
    <w:rsid w:val="00CE2437"/>
    <w:rsid w:val="00CE2679"/>
    <w:rsid w:val="00CE4109"/>
    <w:rsid w:val="00CE484A"/>
    <w:rsid w:val="00CE57E9"/>
    <w:rsid w:val="00CE5AD1"/>
    <w:rsid w:val="00CE5F8E"/>
    <w:rsid w:val="00CE77B6"/>
    <w:rsid w:val="00CE7E8E"/>
    <w:rsid w:val="00CF08C3"/>
    <w:rsid w:val="00CF0CFC"/>
    <w:rsid w:val="00CF0D87"/>
    <w:rsid w:val="00CF1FDC"/>
    <w:rsid w:val="00CF25E3"/>
    <w:rsid w:val="00CF28FD"/>
    <w:rsid w:val="00CF3117"/>
    <w:rsid w:val="00CF3469"/>
    <w:rsid w:val="00CF4015"/>
    <w:rsid w:val="00CF668D"/>
    <w:rsid w:val="00CF6C2E"/>
    <w:rsid w:val="00CF6DE9"/>
    <w:rsid w:val="00CF71CE"/>
    <w:rsid w:val="00D0079E"/>
    <w:rsid w:val="00D031A4"/>
    <w:rsid w:val="00D041C6"/>
    <w:rsid w:val="00D048A6"/>
    <w:rsid w:val="00D05801"/>
    <w:rsid w:val="00D060BC"/>
    <w:rsid w:val="00D0644A"/>
    <w:rsid w:val="00D069FD"/>
    <w:rsid w:val="00D06F6D"/>
    <w:rsid w:val="00D0764A"/>
    <w:rsid w:val="00D107D3"/>
    <w:rsid w:val="00D117B0"/>
    <w:rsid w:val="00D1268A"/>
    <w:rsid w:val="00D1349C"/>
    <w:rsid w:val="00D144AE"/>
    <w:rsid w:val="00D14A61"/>
    <w:rsid w:val="00D14B98"/>
    <w:rsid w:val="00D15590"/>
    <w:rsid w:val="00D16B03"/>
    <w:rsid w:val="00D20A26"/>
    <w:rsid w:val="00D216D4"/>
    <w:rsid w:val="00D21A2B"/>
    <w:rsid w:val="00D22624"/>
    <w:rsid w:val="00D24894"/>
    <w:rsid w:val="00D25DE7"/>
    <w:rsid w:val="00D25F9B"/>
    <w:rsid w:val="00D27021"/>
    <w:rsid w:val="00D27C18"/>
    <w:rsid w:val="00D27F82"/>
    <w:rsid w:val="00D27FE7"/>
    <w:rsid w:val="00D30299"/>
    <w:rsid w:val="00D33565"/>
    <w:rsid w:val="00D336BF"/>
    <w:rsid w:val="00D34A0D"/>
    <w:rsid w:val="00D35FAA"/>
    <w:rsid w:val="00D4079E"/>
    <w:rsid w:val="00D40D47"/>
    <w:rsid w:val="00D410AF"/>
    <w:rsid w:val="00D41AF2"/>
    <w:rsid w:val="00D41FF0"/>
    <w:rsid w:val="00D42066"/>
    <w:rsid w:val="00D4315E"/>
    <w:rsid w:val="00D432A7"/>
    <w:rsid w:val="00D433B7"/>
    <w:rsid w:val="00D44647"/>
    <w:rsid w:val="00D44B89"/>
    <w:rsid w:val="00D44E49"/>
    <w:rsid w:val="00D44F15"/>
    <w:rsid w:val="00D450B5"/>
    <w:rsid w:val="00D45328"/>
    <w:rsid w:val="00D45E7C"/>
    <w:rsid w:val="00D46FAB"/>
    <w:rsid w:val="00D47111"/>
    <w:rsid w:val="00D50A2D"/>
    <w:rsid w:val="00D51175"/>
    <w:rsid w:val="00D53C13"/>
    <w:rsid w:val="00D54156"/>
    <w:rsid w:val="00D55978"/>
    <w:rsid w:val="00D559CE"/>
    <w:rsid w:val="00D55AB2"/>
    <w:rsid w:val="00D57632"/>
    <w:rsid w:val="00D57D56"/>
    <w:rsid w:val="00D602C9"/>
    <w:rsid w:val="00D6044D"/>
    <w:rsid w:val="00D61E71"/>
    <w:rsid w:val="00D623BB"/>
    <w:rsid w:val="00D62A00"/>
    <w:rsid w:val="00D6540E"/>
    <w:rsid w:val="00D7045B"/>
    <w:rsid w:val="00D713D8"/>
    <w:rsid w:val="00D7273D"/>
    <w:rsid w:val="00D7280E"/>
    <w:rsid w:val="00D761BF"/>
    <w:rsid w:val="00D76F6E"/>
    <w:rsid w:val="00D7726A"/>
    <w:rsid w:val="00D772E3"/>
    <w:rsid w:val="00D80B0B"/>
    <w:rsid w:val="00D81336"/>
    <w:rsid w:val="00D81F50"/>
    <w:rsid w:val="00D83681"/>
    <w:rsid w:val="00D84429"/>
    <w:rsid w:val="00D84DE8"/>
    <w:rsid w:val="00D865C5"/>
    <w:rsid w:val="00D86F6D"/>
    <w:rsid w:val="00D8717D"/>
    <w:rsid w:val="00D87E48"/>
    <w:rsid w:val="00D900C8"/>
    <w:rsid w:val="00D90B2C"/>
    <w:rsid w:val="00D91239"/>
    <w:rsid w:val="00D921C1"/>
    <w:rsid w:val="00D92601"/>
    <w:rsid w:val="00D9358C"/>
    <w:rsid w:val="00D96C8B"/>
    <w:rsid w:val="00DA0783"/>
    <w:rsid w:val="00DA08E7"/>
    <w:rsid w:val="00DA0A40"/>
    <w:rsid w:val="00DA0BC7"/>
    <w:rsid w:val="00DA0E0B"/>
    <w:rsid w:val="00DA148D"/>
    <w:rsid w:val="00DA1FCA"/>
    <w:rsid w:val="00DA33D0"/>
    <w:rsid w:val="00DA3BED"/>
    <w:rsid w:val="00DA52AF"/>
    <w:rsid w:val="00DA5674"/>
    <w:rsid w:val="00DA5AAC"/>
    <w:rsid w:val="00DA6292"/>
    <w:rsid w:val="00DA74B4"/>
    <w:rsid w:val="00DA771B"/>
    <w:rsid w:val="00DB0228"/>
    <w:rsid w:val="00DB05B5"/>
    <w:rsid w:val="00DB13D0"/>
    <w:rsid w:val="00DB1964"/>
    <w:rsid w:val="00DB4490"/>
    <w:rsid w:val="00DB4506"/>
    <w:rsid w:val="00DB482D"/>
    <w:rsid w:val="00DB4959"/>
    <w:rsid w:val="00DB6B2C"/>
    <w:rsid w:val="00DB6F37"/>
    <w:rsid w:val="00DB71F1"/>
    <w:rsid w:val="00DC033C"/>
    <w:rsid w:val="00DC0BEE"/>
    <w:rsid w:val="00DC1247"/>
    <w:rsid w:val="00DC3476"/>
    <w:rsid w:val="00DC49B5"/>
    <w:rsid w:val="00DC4D0E"/>
    <w:rsid w:val="00DC4F47"/>
    <w:rsid w:val="00DC508A"/>
    <w:rsid w:val="00DC69DF"/>
    <w:rsid w:val="00DC726D"/>
    <w:rsid w:val="00DD0B09"/>
    <w:rsid w:val="00DD0B1F"/>
    <w:rsid w:val="00DD18ED"/>
    <w:rsid w:val="00DD31CB"/>
    <w:rsid w:val="00DD3BDB"/>
    <w:rsid w:val="00DD3CB5"/>
    <w:rsid w:val="00DD3F12"/>
    <w:rsid w:val="00DD408A"/>
    <w:rsid w:val="00DD7F3B"/>
    <w:rsid w:val="00DE073C"/>
    <w:rsid w:val="00DE0DAF"/>
    <w:rsid w:val="00DE11C3"/>
    <w:rsid w:val="00DE15B9"/>
    <w:rsid w:val="00DE1946"/>
    <w:rsid w:val="00DE1EE3"/>
    <w:rsid w:val="00DE2D1B"/>
    <w:rsid w:val="00DE3285"/>
    <w:rsid w:val="00DE35A7"/>
    <w:rsid w:val="00DE3ECE"/>
    <w:rsid w:val="00DE4547"/>
    <w:rsid w:val="00DE621A"/>
    <w:rsid w:val="00DE6652"/>
    <w:rsid w:val="00DE69DE"/>
    <w:rsid w:val="00DE6B99"/>
    <w:rsid w:val="00DE7FCB"/>
    <w:rsid w:val="00DF1075"/>
    <w:rsid w:val="00DF216E"/>
    <w:rsid w:val="00DF328B"/>
    <w:rsid w:val="00DF3797"/>
    <w:rsid w:val="00DF438E"/>
    <w:rsid w:val="00DF4C9E"/>
    <w:rsid w:val="00DF4D4F"/>
    <w:rsid w:val="00DF6537"/>
    <w:rsid w:val="00DF6701"/>
    <w:rsid w:val="00DF67D9"/>
    <w:rsid w:val="00E000BB"/>
    <w:rsid w:val="00E00CFB"/>
    <w:rsid w:val="00E02663"/>
    <w:rsid w:val="00E02F8B"/>
    <w:rsid w:val="00E0361E"/>
    <w:rsid w:val="00E03D36"/>
    <w:rsid w:val="00E048DA"/>
    <w:rsid w:val="00E04F8C"/>
    <w:rsid w:val="00E05049"/>
    <w:rsid w:val="00E06C07"/>
    <w:rsid w:val="00E077B5"/>
    <w:rsid w:val="00E10B1E"/>
    <w:rsid w:val="00E10C7A"/>
    <w:rsid w:val="00E10E72"/>
    <w:rsid w:val="00E1155D"/>
    <w:rsid w:val="00E123FF"/>
    <w:rsid w:val="00E145ED"/>
    <w:rsid w:val="00E14874"/>
    <w:rsid w:val="00E14CB0"/>
    <w:rsid w:val="00E16215"/>
    <w:rsid w:val="00E16CC9"/>
    <w:rsid w:val="00E174AF"/>
    <w:rsid w:val="00E17AEA"/>
    <w:rsid w:val="00E17C15"/>
    <w:rsid w:val="00E20C90"/>
    <w:rsid w:val="00E213CE"/>
    <w:rsid w:val="00E21D02"/>
    <w:rsid w:val="00E22061"/>
    <w:rsid w:val="00E24753"/>
    <w:rsid w:val="00E25EE4"/>
    <w:rsid w:val="00E263E7"/>
    <w:rsid w:val="00E2735F"/>
    <w:rsid w:val="00E30121"/>
    <w:rsid w:val="00E304D2"/>
    <w:rsid w:val="00E305B6"/>
    <w:rsid w:val="00E30DC6"/>
    <w:rsid w:val="00E3156F"/>
    <w:rsid w:val="00E31604"/>
    <w:rsid w:val="00E318DB"/>
    <w:rsid w:val="00E31F40"/>
    <w:rsid w:val="00E34A12"/>
    <w:rsid w:val="00E3539B"/>
    <w:rsid w:val="00E35564"/>
    <w:rsid w:val="00E3732E"/>
    <w:rsid w:val="00E37637"/>
    <w:rsid w:val="00E37770"/>
    <w:rsid w:val="00E4003B"/>
    <w:rsid w:val="00E40617"/>
    <w:rsid w:val="00E41E0B"/>
    <w:rsid w:val="00E42006"/>
    <w:rsid w:val="00E44C09"/>
    <w:rsid w:val="00E45982"/>
    <w:rsid w:val="00E466F5"/>
    <w:rsid w:val="00E4681B"/>
    <w:rsid w:val="00E471A4"/>
    <w:rsid w:val="00E47F28"/>
    <w:rsid w:val="00E50D58"/>
    <w:rsid w:val="00E525D6"/>
    <w:rsid w:val="00E54526"/>
    <w:rsid w:val="00E5506E"/>
    <w:rsid w:val="00E55158"/>
    <w:rsid w:val="00E5572A"/>
    <w:rsid w:val="00E55B18"/>
    <w:rsid w:val="00E560E5"/>
    <w:rsid w:val="00E5632E"/>
    <w:rsid w:val="00E5735D"/>
    <w:rsid w:val="00E573BB"/>
    <w:rsid w:val="00E5760A"/>
    <w:rsid w:val="00E6144A"/>
    <w:rsid w:val="00E614D2"/>
    <w:rsid w:val="00E61A94"/>
    <w:rsid w:val="00E61CB5"/>
    <w:rsid w:val="00E627A6"/>
    <w:rsid w:val="00E62EA6"/>
    <w:rsid w:val="00E63387"/>
    <w:rsid w:val="00E6353D"/>
    <w:rsid w:val="00E63B7D"/>
    <w:rsid w:val="00E647B8"/>
    <w:rsid w:val="00E6493E"/>
    <w:rsid w:val="00E64A27"/>
    <w:rsid w:val="00E64D07"/>
    <w:rsid w:val="00E64EEB"/>
    <w:rsid w:val="00E67314"/>
    <w:rsid w:val="00E67BF6"/>
    <w:rsid w:val="00E7047F"/>
    <w:rsid w:val="00E71001"/>
    <w:rsid w:val="00E7208D"/>
    <w:rsid w:val="00E733F4"/>
    <w:rsid w:val="00E74385"/>
    <w:rsid w:val="00E7482E"/>
    <w:rsid w:val="00E74E37"/>
    <w:rsid w:val="00E75E21"/>
    <w:rsid w:val="00E76D9E"/>
    <w:rsid w:val="00E8065B"/>
    <w:rsid w:val="00E807C6"/>
    <w:rsid w:val="00E8145A"/>
    <w:rsid w:val="00E81B66"/>
    <w:rsid w:val="00E820CB"/>
    <w:rsid w:val="00E82610"/>
    <w:rsid w:val="00E83462"/>
    <w:rsid w:val="00E837E0"/>
    <w:rsid w:val="00E83B49"/>
    <w:rsid w:val="00E83DEC"/>
    <w:rsid w:val="00E85089"/>
    <w:rsid w:val="00E853E1"/>
    <w:rsid w:val="00E854E7"/>
    <w:rsid w:val="00E857E1"/>
    <w:rsid w:val="00E85FFD"/>
    <w:rsid w:val="00E86B8A"/>
    <w:rsid w:val="00E870B2"/>
    <w:rsid w:val="00E8762A"/>
    <w:rsid w:val="00E90240"/>
    <w:rsid w:val="00E906BE"/>
    <w:rsid w:val="00E90724"/>
    <w:rsid w:val="00E92B7E"/>
    <w:rsid w:val="00E939B7"/>
    <w:rsid w:val="00E93F36"/>
    <w:rsid w:val="00E94DAF"/>
    <w:rsid w:val="00E96746"/>
    <w:rsid w:val="00E9675E"/>
    <w:rsid w:val="00E96937"/>
    <w:rsid w:val="00E96A40"/>
    <w:rsid w:val="00E96B4F"/>
    <w:rsid w:val="00EA12DF"/>
    <w:rsid w:val="00EA1C5A"/>
    <w:rsid w:val="00EA1EBC"/>
    <w:rsid w:val="00EA2429"/>
    <w:rsid w:val="00EA4513"/>
    <w:rsid w:val="00EA46FD"/>
    <w:rsid w:val="00EA7085"/>
    <w:rsid w:val="00EA78DE"/>
    <w:rsid w:val="00EA798D"/>
    <w:rsid w:val="00EA7CDF"/>
    <w:rsid w:val="00EB01C9"/>
    <w:rsid w:val="00EB0AF4"/>
    <w:rsid w:val="00EB0F17"/>
    <w:rsid w:val="00EB1AE0"/>
    <w:rsid w:val="00EB2464"/>
    <w:rsid w:val="00EB2565"/>
    <w:rsid w:val="00EB3C32"/>
    <w:rsid w:val="00EB3FBF"/>
    <w:rsid w:val="00EB4FAF"/>
    <w:rsid w:val="00EB6439"/>
    <w:rsid w:val="00EB70A9"/>
    <w:rsid w:val="00EC0114"/>
    <w:rsid w:val="00EC0C39"/>
    <w:rsid w:val="00EC1000"/>
    <w:rsid w:val="00EC150F"/>
    <w:rsid w:val="00EC1F01"/>
    <w:rsid w:val="00EC243E"/>
    <w:rsid w:val="00EC2CCB"/>
    <w:rsid w:val="00EC32B4"/>
    <w:rsid w:val="00EC38C5"/>
    <w:rsid w:val="00EC3EED"/>
    <w:rsid w:val="00EC589F"/>
    <w:rsid w:val="00EC5B24"/>
    <w:rsid w:val="00EC5BB3"/>
    <w:rsid w:val="00EC6B4D"/>
    <w:rsid w:val="00EC7463"/>
    <w:rsid w:val="00EC74B7"/>
    <w:rsid w:val="00EC7A60"/>
    <w:rsid w:val="00ED47FA"/>
    <w:rsid w:val="00ED4C58"/>
    <w:rsid w:val="00ED56D3"/>
    <w:rsid w:val="00ED5CBE"/>
    <w:rsid w:val="00ED7CEF"/>
    <w:rsid w:val="00ED7EB8"/>
    <w:rsid w:val="00EE01DD"/>
    <w:rsid w:val="00EE2F78"/>
    <w:rsid w:val="00EE3592"/>
    <w:rsid w:val="00EE3A1E"/>
    <w:rsid w:val="00EE407F"/>
    <w:rsid w:val="00EE4A8E"/>
    <w:rsid w:val="00EE51CD"/>
    <w:rsid w:val="00EE7096"/>
    <w:rsid w:val="00EE740D"/>
    <w:rsid w:val="00EE763C"/>
    <w:rsid w:val="00EE76A3"/>
    <w:rsid w:val="00EF05F7"/>
    <w:rsid w:val="00EF0CF2"/>
    <w:rsid w:val="00EF1A6E"/>
    <w:rsid w:val="00EF1C1B"/>
    <w:rsid w:val="00EF2EE4"/>
    <w:rsid w:val="00EF60A4"/>
    <w:rsid w:val="00EF6C48"/>
    <w:rsid w:val="00EF76DE"/>
    <w:rsid w:val="00EF7D9B"/>
    <w:rsid w:val="00F01F4E"/>
    <w:rsid w:val="00F02466"/>
    <w:rsid w:val="00F03CD5"/>
    <w:rsid w:val="00F03F37"/>
    <w:rsid w:val="00F05900"/>
    <w:rsid w:val="00F06966"/>
    <w:rsid w:val="00F06A17"/>
    <w:rsid w:val="00F06BC5"/>
    <w:rsid w:val="00F077E3"/>
    <w:rsid w:val="00F10316"/>
    <w:rsid w:val="00F10D6A"/>
    <w:rsid w:val="00F11F10"/>
    <w:rsid w:val="00F12103"/>
    <w:rsid w:val="00F132C9"/>
    <w:rsid w:val="00F13460"/>
    <w:rsid w:val="00F13943"/>
    <w:rsid w:val="00F144E4"/>
    <w:rsid w:val="00F148E5"/>
    <w:rsid w:val="00F14913"/>
    <w:rsid w:val="00F16C71"/>
    <w:rsid w:val="00F171A2"/>
    <w:rsid w:val="00F17730"/>
    <w:rsid w:val="00F17E7B"/>
    <w:rsid w:val="00F21364"/>
    <w:rsid w:val="00F21395"/>
    <w:rsid w:val="00F2152B"/>
    <w:rsid w:val="00F2220E"/>
    <w:rsid w:val="00F233C0"/>
    <w:rsid w:val="00F23E4B"/>
    <w:rsid w:val="00F242E9"/>
    <w:rsid w:val="00F24622"/>
    <w:rsid w:val="00F249D0"/>
    <w:rsid w:val="00F261B0"/>
    <w:rsid w:val="00F26FFA"/>
    <w:rsid w:val="00F27535"/>
    <w:rsid w:val="00F2777A"/>
    <w:rsid w:val="00F279FB"/>
    <w:rsid w:val="00F31F1A"/>
    <w:rsid w:val="00F333FE"/>
    <w:rsid w:val="00F344E5"/>
    <w:rsid w:val="00F3567B"/>
    <w:rsid w:val="00F35BDE"/>
    <w:rsid w:val="00F35C47"/>
    <w:rsid w:val="00F35D06"/>
    <w:rsid w:val="00F37B59"/>
    <w:rsid w:val="00F402BD"/>
    <w:rsid w:val="00F40585"/>
    <w:rsid w:val="00F407BB"/>
    <w:rsid w:val="00F410F2"/>
    <w:rsid w:val="00F443AB"/>
    <w:rsid w:val="00F4454F"/>
    <w:rsid w:val="00F44908"/>
    <w:rsid w:val="00F44C95"/>
    <w:rsid w:val="00F46058"/>
    <w:rsid w:val="00F460AC"/>
    <w:rsid w:val="00F4664F"/>
    <w:rsid w:val="00F4679C"/>
    <w:rsid w:val="00F46EC6"/>
    <w:rsid w:val="00F514A0"/>
    <w:rsid w:val="00F519B6"/>
    <w:rsid w:val="00F523E3"/>
    <w:rsid w:val="00F52834"/>
    <w:rsid w:val="00F531D7"/>
    <w:rsid w:val="00F534C5"/>
    <w:rsid w:val="00F535CD"/>
    <w:rsid w:val="00F54105"/>
    <w:rsid w:val="00F54575"/>
    <w:rsid w:val="00F549AA"/>
    <w:rsid w:val="00F54A55"/>
    <w:rsid w:val="00F54C23"/>
    <w:rsid w:val="00F55986"/>
    <w:rsid w:val="00F55D06"/>
    <w:rsid w:val="00F576D4"/>
    <w:rsid w:val="00F610A1"/>
    <w:rsid w:val="00F630C7"/>
    <w:rsid w:val="00F64635"/>
    <w:rsid w:val="00F64FAB"/>
    <w:rsid w:val="00F65E63"/>
    <w:rsid w:val="00F7030F"/>
    <w:rsid w:val="00F70941"/>
    <w:rsid w:val="00F71609"/>
    <w:rsid w:val="00F71A88"/>
    <w:rsid w:val="00F736B7"/>
    <w:rsid w:val="00F748DB"/>
    <w:rsid w:val="00F74CC0"/>
    <w:rsid w:val="00F74DED"/>
    <w:rsid w:val="00F74E86"/>
    <w:rsid w:val="00F75EDB"/>
    <w:rsid w:val="00F804CB"/>
    <w:rsid w:val="00F8157D"/>
    <w:rsid w:val="00F81A94"/>
    <w:rsid w:val="00F82B48"/>
    <w:rsid w:val="00F833E8"/>
    <w:rsid w:val="00F838C4"/>
    <w:rsid w:val="00F85372"/>
    <w:rsid w:val="00F8753B"/>
    <w:rsid w:val="00F90CFA"/>
    <w:rsid w:val="00F91709"/>
    <w:rsid w:val="00F92FB5"/>
    <w:rsid w:val="00F943B3"/>
    <w:rsid w:val="00F94B50"/>
    <w:rsid w:val="00F95E37"/>
    <w:rsid w:val="00F95F20"/>
    <w:rsid w:val="00FA07E0"/>
    <w:rsid w:val="00FA4101"/>
    <w:rsid w:val="00FA43C0"/>
    <w:rsid w:val="00FA6769"/>
    <w:rsid w:val="00FA7152"/>
    <w:rsid w:val="00FA7815"/>
    <w:rsid w:val="00FA7918"/>
    <w:rsid w:val="00FA7945"/>
    <w:rsid w:val="00FB07D2"/>
    <w:rsid w:val="00FB12B9"/>
    <w:rsid w:val="00FB1B6E"/>
    <w:rsid w:val="00FB2C01"/>
    <w:rsid w:val="00FB5DE3"/>
    <w:rsid w:val="00FB639D"/>
    <w:rsid w:val="00FB733A"/>
    <w:rsid w:val="00FB7C73"/>
    <w:rsid w:val="00FC0069"/>
    <w:rsid w:val="00FC180F"/>
    <w:rsid w:val="00FC1891"/>
    <w:rsid w:val="00FC1917"/>
    <w:rsid w:val="00FC2E70"/>
    <w:rsid w:val="00FC328D"/>
    <w:rsid w:val="00FC36DA"/>
    <w:rsid w:val="00FC38CF"/>
    <w:rsid w:val="00FC3D25"/>
    <w:rsid w:val="00FC46E0"/>
    <w:rsid w:val="00FC6B92"/>
    <w:rsid w:val="00FD0C11"/>
    <w:rsid w:val="00FD167F"/>
    <w:rsid w:val="00FD16BA"/>
    <w:rsid w:val="00FD2050"/>
    <w:rsid w:val="00FD2DF9"/>
    <w:rsid w:val="00FD303C"/>
    <w:rsid w:val="00FD33AE"/>
    <w:rsid w:val="00FD3C53"/>
    <w:rsid w:val="00FD4032"/>
    <w:rsid w:val="00FD4E09"/>
    <w:rsid w:val="00FD51E9"/>
    <w:rsid w:val="00FD53D1"/>
    <w:rsid w:val="00FD6F7B"/>
    <w:rsid w:val="00FE0267"/>
    <w:rsid w:val="00FE02A4"/>
    <w:rsid w:val="00FE0702"/>
    <w:rsid w:val="00FE1002"/>
    <w:rsid w:val="00FE3E4B"/>
    <w:rsid w:val="00FE4BCA"/>
    <w:rsid w:val="00FE6440"/>
    <w:rsid w:val="00FE6520"/>
    <w:rsid w:val="00FE6956"/>
    <w:rsid w:val="00FE7D24"/>
    <w:rsid w:val="00FF0C98"/>
    <w:rsid w:val="00FF111B"/>
    <w:rsid w:val="00FF2316"/>
    <w:rsid w:val="00FF3DA3"/>
    <w:rsid w:val="00FF3ECE"/>
    <w:rsid w:val="00FF3F4F"/>
    <w:rsid w:val="00FF434C"/>
    <w:rsid w:val="00FF464A"/>
    <w:rsid w:val="00FF53B8"/>
    <w:rsid w:val="00FF5409"/>
    <w:rsid w:val="00FF592C"/>
    <w:rsid w:val="00FF6386"/>
    <w:rsid w:val="00FF728E"/>
    <w:rsid w:val="01ABF3BD"/>
    <w:rsid w:val="01D5A885"/>
    <w:rsid w:val="02103666"/>
    <w:rsid w:val="023F1231"/>
    <w:rsid w:val="025A68FA"/>
    <w:rsid w:val="02A1AEEE"/>
    <w:rsid w:val="03D4AFB7"/>
    <w:rsid w:val="040EB1A3"/>
    <w:rsid w:val="042B7256"/>
    <w:rsid w:val="042D354F"/>
    <w:rsid w:val="04E6EEE2"/>
    <w:rsid w:val="0535CE13"/>
    <w:rsid w:val="05A25DCD"/>
    <w:rsid w:val="05DF76CE"/>
    <w:rsid w:val="0613F954"/>
    <w:rsid w:val="065E843E"/>
    <w:rsid w:val="06711E66"/>
    <w:rsid w:val="08C50917"/>
    <w:rsid w:val="0A15FC37"/>
    <w:rsid w:val="0ABBB839"/>
    <w:rsid w:val="0AE5A5BC"/>
    <w:rsid w:val="0B99D8C2"/>
    <w:rsid w:val="0C006B9B"/>
    <w:rsid w:val="0C11E9AA"/>
    <w:rsid w:val="0DCE9DCF"/>
    <w:rsid w:val="0E1BEDAB"/>
    <w:rsid w:val="0E1DD13A"/>
    <w:rsid w:val="0F135389"/>
    <w:rsid w:val="10534C83"/>
    <w:rsid w:val="107C1445"/>
    <w:rsid w:val="10FDCB96"/>
    <w:rsid w:val="1103AA97"/>
    <w:rsid w:val="1160B4F8"/>
    <w:rsid w:val="117BEF9C"/>
    <w:rsid w:val="11F7930C"/>
    <w:rsid w:val="1252C300"/>
    <w:rsid w:val="13F563E0"/>
    <w:rsid w:val="14B8C7AD"/>
    <w:rsid w:val="14BDADB2"/>
    <w:rsid w:val="1551BEDD"/>
    <w:rsid w:val="15963829"/>
    <w:rsid w:val="1689AAA8"/>
    <w:rsid w:val="16DC7D6E"/>
    <w:rsid w:val="18D21166"/>
    <w:rsid w:val="19386B42"/>
    <w:rsid w:val="19C4C1FC"/>
    <w:rsid w:val="1A6C0849"/>
    <w:rsid w:val="1B2B032A"/>
    <w:rsid w:val="1B77465A"/>
    <w:rsid w:val="1BA4E802"/>
    <w:rsid w:val="1BEDE875"/>
    <w:rsid w:val="1C71D833"/>
    <w:rsid w:val="1CA1EE90"/>
    <w:rsid w:val="1D4D6A58"/>
    <w:rsid w:val="1ED002A8"/>
    <w:rsid w:val="1ED94994"/>
    <w:rsid w:val="1EE63653"/>
    <w:rsid w:val="1F1C3E0E"/>
    <w:rsid w:val="1F5887DA"/>
    <w:rsid w:val="20A5CCB2"/>
    <w:rsid w:val="211F431D"/>
    <w:rsid w:val="21E01EF9"/>
    <w:rsid w:val="22301B6F"/>
    <w:rsid w:val="23597A60"/>
    <w:rsid w:val="235CA9BD"/>
    <w:rsid w:val="23EF6768"/>
    <w:rsid w:val="23F1F201"/>
    <w:rsid w:val="2404C0D8"/>
    <w:rsid w:val="24AE1253"/>
    <w:rsid w:val="2538C027"/>
    <w:rsid w:val="25944EB3"/>
    <w:rsid w:val="270A758C"/>
    <w:rsid w:val="27FB0A5A"/>
    <w:rsid w:val="280D0A96"/>
    <w:rsid w:val="283116CC"/>
    <w:rsid w:val="28341ECC"/>
    <w:rsid w:val="29828A61"/>
    <w:rsid w:val="2A3B908D"/>
    <w:rsid w:val="2A8F6728"/>
    <w:rsid w:val="2B0587D2"/>
    <w:rsid w:val="2B06FB75"/>
    <w:rsid w:val="2C8D875B"/>
    <w:rsid w:val="2CAE892D"/>
    <w:rsid w:val="2D3C721F"/>
    <w:rsid w:val="2E19F491"/>
    <w:rsid w:val="2EE602A2"/>
    <w:rsid w:val="2EE906C2"/>
    <w:rsid w:val="2EECF2E2"/>
    <w:rsid w:val="2F4C22D4"/>
    <w:rsid w:val="2FD784F8"/>
    <w:rsid w:val="3159A6A2"/>
    <w:rsid w:val="31AFF976"/>
    <w:rsid w:val="31FBC5EF"/>
    <w:rsid w:val="3379E645"/>
    <w:rsid w:val="33A49066"/>
    <w:rsid w:val="340E33A5"/>
    <w:rsid w:val="34375E0A"/>
    <w:rsid w:val="345F2394"/>
    <w:rsid w:val="3510A133"/>
    <w:rsid w:val="353A07FB"/>
    <w:rsid w:val="357D79E3"/>
    <w:rsid w:val="35E6C970"/>
    <w:rsid w:val="366DBDD7"/>
    <w:rsid w:val="36A71CB2"/>
    <w:rsid w:val="3752B2BD"/>
    <w:rsid w:val="37C0ECB8"/>
    <w:rsid w:val="37C43236"/>
    <w:rsid w:val="38D896C5"/>
    <w:rsid w:val="3915F75D"/>
    <w:rsid w:val="3937E126"/>
    <w:rsid w:val="398A95E8"/>
    <w:rsid w:val="39C32FCA"/>
    <w:rsid w:val="39CEA04E"/>
    <w:rsid w:val="3C0C92A7"/>
    <w:rsid w:val="3C4ED73F"/>
    <w:rsid w:val="3C56D9C4"/>
    <w:rsid w:val="3C57078D"/>
    <w:rsid w:val="3C5C91F4"/>
    <w:rsid w:val="3D34F702"/>
    <w:rsid w:val="3D50526B"/>
    <w:rsid w:val="3D8B94EC"/>
    <w:rsid w:val="3DA4842B"/>
    <w:rsid w:val="3E98E231"/>
    <w:rsid w:val="3ED4EDA9"/>
    <w:rsid w:val="3F3F8E75"/>
    <w:rsid w:val="3F43374A"/>
    <w:rsid w:val="3FA856C6"/>
    <w:rsid w:val="403FC1E3"/>
    <w:rsid w:val="404B0105"/>
    <w:rsid w:val="41145698"/>
    <w:rsid w:val="413F5C9E"/>
    <w:rsid w:val="420FF07A"/>
    <w:rsid w:val="429517FE"/>
    <w:rsid w:val="42A641F7"/>
    <w:rsid w:val="43478E71"/>
    <w:rsid w:val="43ADDA0F"/>
    <w:rsid w:val="4425B179"/>
    <w:rsid w:val="46C659C9"/>
    <w:rsid w:val="470FC3A4"/>
    <w:rsid w:val="471B7CF0"/>
    <w:rsid w:val="47558AD4"/>
    <w:rsid w:val="486022E8"/>
    <w:rsid w:val="48CFF514"/>
    <w:rsid w:val="498B13F7"/>
    <w:rsid w:val="4A60FE5B"/>
    <w:rsid w:val="4A92B1FF"/>
    <w:rsid w:val="4B3AE062"/>
    <w:rsid w:val="4B6269A3"/>
    <w:rsid w:val="4B6E3389"/>
    <w:rsid w:val="4BDE15A4"/>
    <w:rsid w:val="4BFE9D58"/>
    <w:rsid w:val="4C2268DD"/>
    <w:rsid w:val="4D37BF81"/>
    <w:rsid w:val="4DDE8305"/>
    <w:rsid w:val="4E25C64A"/>
    <w:rsid w:val="4E9690C3"/>
    <w:rsid w:val="4E9FD4C7"/>
    <w:rsid w:val="4F5691D2"/>
    <w:rsid w:val="4F9F701B"/>
    <w:rsid w:val="4FFEA294"/>
    <w:rsid w:val="504622D3"/>
    <w:rsid w:val="5054CD54"/>
    <w:rsid w:val="509E4BAB"/>
    <w:rsid w:val="50E659EF"/>
    <w:rsid w:val="50FEC0FC"/>
    <w:rsid w:val="5110D12E"/>
    <w:rsid w:val="51122F24"/>
    <w:rsid w:val="51328562"/>
    <w:rsid w:val="526FB41D"/>
    <w:rsid w:val="52A1B8DB"/>
    <w:rsid w:val="536C928B"/>
    <w:rsid w:val="53719ECF"/>
    <w:rsid w:val="541E8205"/>
    <w:rsid w:val="55832D90"/>
    <w:rsid w:val="56008A73"/>
    <w:rsid w:val="560637F9"/>
    <w:rsid w:val="5646AB43"/>
    <w:rsid w:val="569B43E8"/>
    <w:rsid w:val="56A88583"/>
    <w:rsid w:val="5812B10C"/>
    <w:rsid w:val="5814E659"/>
    <w:rsid w:val="58F5B482"/>
    <w:rsid w:val="594FA282"/>
    <w:rsid w:val="597AD1FE"/>
    <w:rsid w:val="5990D643"/>
    <w:rsid w:val="5A15D366"/>
    <w:rsid w:val="5AA81CAA"/>
    <w:rsid w:val="5B3BC9F7"/>
    <w:rsid w:val="5B477675"/>
    <w:rsid w:val="5D5EEE29"/>
    <w:rsid w:val="5D6E88CC"/>
    <w:rsid w:val="5DA7DE40"/>
    <w:rsid w:val="5DDF5BEC"/>
    <w:rsid w:val="5E5915FA"/>
    <w:rsid w:val="5F3A4A06"/>
    <w:rsid w:val="5F79E14D"/>
    <w:rsid w:val="610EB30E"/>
    <w:rsid w:val="61A5C9C9"/>
    <w:rsid w:val="63C0BCC4"/>
    <w:rsid w:val="63CF117D"/>
    <w:rsid w:val="64A6664A"/>
    <w:rsid w:val="66AA4C78"/>
    <w:rsid w:val="67FF6D85"/>
    <w:rsid w:val="683C753D"/>
    <w:rsid w:val="68E01FEE"/>
    <w:rsid w:val="6936E92C"/>
    <w:rsid w:val="6937E54B"/>
    <w:rsid w:val="6A6A8484"/>
    <w:rsid w:val="6A72D876"/>
    <w:rsid w:val="6AE6B039"/>
    <w:rsid w:val="6B004E4C"/>
    <w:rsid w:val="6C535992"/>
    <w:rsid w:val="6C5AF8DF"/>
    <w:rsid w:val="6C80D6D6"/>
    <w:rsid w:val="6CE07504"/>
    <w:rsid w:val="6EAC0EC9"/>
    <w:rsid w:val="6EFD5276"/>
    <w:rsid w:val="6F2176BF"/>
    <w:rsid w:val="703E167E"/>
    <w:rsid w:val="7074627E"/>
    <w:rsid w:val="70B4121F"/>
    <w:rsid w:val="70D392E1"/>
    <w:rsid w:val="716AECED"/>
    <w:rsid w:val="7222004D"/>
    <w:rsid w:val="72767E4B"/>
    <w:rsid w:val="7379DCEE"/>
    <w:rsid w:val="746579F0"/>
    <w:rsid w:val="74690A0B"/>
    <w:rsid w:val="74CFAC10"/>
    <w:rsid w:val="74F08461"/>
    <w:rsid w:val="75CDFF6A"/>
    <w:rsid w:val="76F11D7A"/>
    <w:rsid w:val="7741A7CE"/>
    <w:rsid w:val="782CD1D5"/>
    <w:rsid w:val="78925686"/>
    <w:rsid w:val="7A0F4559"/>
    <w:rsid w:val="7B90B8EF"/>
    <w:rsid w:val="7BA81429"/>
    <w:rsid w:val="7BC43759"/>
    <w:rsid w:val="7C756B1F"/>
    <w:rsid w:val="7D2A3E12"/>
    <w:rsid w:val="7E73D168"/>
    <w:rsid w:val="7EC20FBB"/>
    <w:rsid w:val="7ED23F75"/>
    <w:rsid w:val="7EDA7AB7"/>
    <w:rsid w:val="7F2338F7"/>
    <w:rsid w:val="7F36D384"/>
    <w:rsid w:val="7F4C0A76"/>
    <w:rsid w:val="7F60B924"/>
    <w:rsid w:val="7FAD0B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86284"/>
  <w15:docId w15:val="{B32B18A7-E85F-4572-A3FB-5D79DE1C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08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DD408A"/>
    <w:pPr>
      <w:keepNext/>
      <w:tabs>
        <w:tab w:val="left" w:pos="567"/>
      </w:tabs>
      <w:spacing w:before="400" w:after="720"/>
      <w:outlineLvl w:val="0"/>
    </w:pPr>
    <w:rPr>
      <w:rFonts w:ascii="Arial" w:hAnsi="Arial"/>
      <w:caps/>
      <w:color w:val="1D3278"/>
      <w:kern w:val="28"/>
      <w:sz w:val="40"/>
      <w:szCs w:val="36"/>
      <w:lang w:val="en-AU"/>
    </w:rPr>
  </w:style>
  <w:style w:type="paragraph" w:styleId="Heading2">
    <w:name w:val="heading 2"/>
    <w:basedOn w:val="Normal"/>
    <w:next w:val="BodyText"/>
    <w:link w:val="Heading2Char"/>
    <w:qFormat/>
    <w:rsid w:val="001626ED"/>
    <w:pPr>
      <w:keepNext/>
      <w:widowControl w:val="0"/>
      <w:pBdr>
        <w:bottom w:val="single" w:sz="4" w:space="2" w:color="53C8E9"/>
      </w:pBdr>
      <w:spacing w:before="240" w:after="100"/>
      <w:outlineLvl w:val="1"/>
    </w:pPr>
    <w:rPr>
      <w:rFonts w:ascii="Arial Bold" w:eastAsia="Arial Unicode MS" w:hAnsi="Arial Bold"/>
      <w:b/>
      <w:color w:val="53C8E9"/>
      <w:kern w:val="28"/>
      <w:sz w:val="28"/>
      <w:szCs w:val="36"/>
      <w:lang w:val="en-AU"/>
    </w:rPr>
  </w:style>
  <w:style w:type="paragraph" w:styleId="Heading3">
    <w:name w:val="heading 3"/>
    <w:basedOn w:val="Heading2"/>
    <w:next w:val="BodyText"/>
    <w:link w:val="Heading3Char"/>
    <w:qFormat/>
    <w:rsid w:val="000F1E2C"/>
    <w:pPr>
      <w:keepNext w:val="0"/>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181A01"/>
    <w:pPr>
      <w:spacing w:line="320" w:lineRule="exact"/>
      <w:outlineLvl w:val="3"/>
    </w:pPr>
    <w:rPr>
      <w:sz w:val="25"/>
    </w:rPr>
  </w:style>
  <w:style w:type="paragraph" w:styleId="Heading5">
    <w:name w:val="heading 5"/>
    <w:basedOn w:val="Heading4"/>
    <w:next w:val="BodyText"/>
    <w:link w:val="Heading5Char"/>
    <w:qFormat/>
    <w:rsid w:val="00D216D4"/>
    <w:pPr>
      <w:spacing w:before="400" w:after="60"/>
      <w:outlineLvl w:val="4"/>
    </w:pPr>
    <w:rPr>
      <w:rFonts w:ascii="Arial" w:hAnsi="Arial"/>
      <w:b w:val="0"/>
      <w:i/>
      <w:sz w:val="24"/>
    </w:rPr>
  </w:style>
  <w:style w:type="paragraph" w:styleId="Heading6">
    <w:name w:val="heading 6"/>
    <w:basedOn w:val="Heading1"/>
    <w:next w:val="Normal"/>
    <w:link w:val="Heading6Char"/>
    <w:qFormat/>
    <w:rsid w:val="00DD408A"/>
    <w:pPr>
      <w:spacing w:before="320" w:after="120"/>
      <w:outlineLvl w:val="5"/>
    </w:pPr>
    <w:rPr>
      <w:kern w:val="0"/>
      <w:sz w:val="20"/>
    </w:rPr>
  </w:style>
  <w:style w:type="paragraph" w:styleId="Heading7">
    <w:name w:val="heading 7"/>
    <w:basedOn w:val="Heading5"/>
    <w:next w:val="Normal"/>
    <w:link w:val="Heading7Char"/>
    <w:qFormat/>
    <w:rsid w:val="00DD408A"/>
    <w:pPr>
      <w:spacing w:before="120"/>
      <w:ind w:left="425"/>
      <w:jc w:val="both"/>
      <w:outlineLvl w:val="6"/>
    </w:pPr>
    <w:rPr>
      <w:i w:val="0"/>
      <w:sz w:val="23"/>
    </w:rPr>
  </w:style>
  <w:style w:type="paragraph" w:styleId="Heading8">
    <w:name w:val="heading 8"/>
    <w:basedOn w:val="Heading7"/>
    <w:next w:val="Normal"/>
    <w:link w:val="Heading8Char"/>
    <w:qFormat/>
    <w:rsid w:val="00DD408A"/>
    <w:pPr>
      <w:outlineLvl w:val="7"/>
    </w:pPr>
    <w:rPr>
      <w:i/>
    </w:rPr>
  </w:style>
  <w:style w:type="paragraph" w:styleId="Heading9">
    <w:name w:val="heading 9"/>
    <w:basedOn w:val="Heading8"/>
    <w:next w:val="Normal"/>
    <w:link w:val="Heading9Char"/>
    <w:qFormat/>
    <w:rsid w:val="00DD408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26ED"/>
    <w:rPr>
      <w:rFonts w:ascii="Arial Bold" w:eastAsia="Arial Unicode MS" w:hAnsi="Arial Bold" w:cs="Times New Roman"/>
      <w:b/>
      <w:color w:val="53C8E9"/>
      <w:kern w:val="28"/>
      <w:sz w:val="28"/>
      <w:szCs w:val="36"/>
    </w:rPr>
  </w:style>
  <w:style w:type="paragraph" w:styleId="BodyText">
    <w:name w:val="Body Text"/>
    <w:link w:val="BodyTextChar"/>
    <w:rsid w:val="00D216D4"/>
    <w:pPr>
      <w:spacing w:before="160" w:after="100" w:line="240" w:lineRule="atLeast"/>
    </w:pPr>
    <w:rPr>
      <w:rFonts w:ascii="Arial" w:eastAsia="Times New Roman" w:hAnsi="Arial" w:cs="Times New Roman"/>
      <w:sz w:val="23"/>
      <w:szCs w:val="20"/>
    </w:rPr>
  </w:style>
  <w:style w:type="character" w:customStyle="1" w:styleId="BodyTextChar">
    <w:name w:val="Body Text Char"/>
    <w:link w:val="BodyText"/>
    <w:rsid w:val="00D216D4"/>
    <w:rPr>
      <w:rFonts w:ascii="Arial" w:eastAsia="Times New Roman" w:hAnsi="Arial" w:cs="Times New Roman"/>
      <w:sz w:val="23"/>
      <w:szCs w:val="20"/>
    </w:rPr>
  </w:style>
  <w:style w:type="paragraph" w:styleId="ListParagraph">
    <w:name w:val="List Paragraph"/>
    <w:basedOn w:val="Normal"/>
    <w:link w:val="ListParagraphChar"/>
    <w:uiPriority w:val="34"/>
    <w:qFormat/>
    <w:rsid w:val="00DD408A"/>
    <w:pPr>
      <w:ind w:left="720"/>
      <w:contextualSpacing/>
    </w:pPr>
  </w:style>
  <w:style w:type="character" w:customStyle="1" w:styleId="ListParagraphChar">
    <w:name w:val="List Paragraph Char"/>
    <w:link w:val="ListParagraph"/>
    <w:uiPriority w:val="34"/>
    <w:locked/>
    <w:rsid w:val="00DD408A"/>
    <w:rPr>
      <w:rFonts w:ascii="Times New Roman" w:eastAsia="Times New Roman" w:hAnsi="Times New Roman" w:cs="Times New Roman"/>
      <w:sz w:val="20"/>
      <w:szCs w:val="20"/>
      <w:lang w:val="en-US"/>
    </w:rPr>
  </w:style>
  <w:style w:type="character" w:customStyle="1" w:styleId="Heading1Char">
    <w:name w:val="Heading 1 Char"/>
    <w:link w:val="Heading1"/>
    <w:rsid w:val="00DD408A"/>
    <w:rPr>
      <w:rFonts w:ascii="Arial" w:eastAsia="Times New Roman" w:hAnsi="Arial" w:cs="Times New Roman"/>
      <w:caps/>
      <w:color w:val="1D3278"/>
      <w:kern w:val="28"/>
      <w:sz w:val="40"/>
      <w:szCs w:val="36"/>
    </w:rPr>
  </w:style>
  <w:style w:type="paragraph" w:styleId="Header">
    <w:name w:val="header"/>
    <w:basedOn w:val="Normal"/>
    <w:link w:val="HeaderChar"/>
    <w:uiPriority w:val="99"/>
    <w:rsid w:val="00DD408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DD408A"/>
    <w:rPr>
      <w:rFonts w:ascii="Arial Unicode MS" w:eastAsia="Times New Roman" w:hAnsi="Arial Unicode MS" w:cs="Times New Roman"/>
      <w:sz w:val="20"/>
      <w:szCs w:val="20"/>
      <w:lang w:val="en-US"/>
    </w:rPr>
  </w:style>
  <w:style w:type="paragraph" w:styleId="Footer">
    <w:name w:val="footer"/>
    <w:basedOn w:val="Normal"/>
    <w:link w:val="FooterChar"/>
    <w:rsid w:val="00DD408A"/>
    <w:pPr>
      <w:pBdr>
        <w:top w:val="single" w:sz="4" w:space="4" w:color="auto"/>
      </w:pBdr>
      <w:tabs>
        <w:tab w:val="right" w:pos="9072"/>
      </w:tabs>
    </w:pPr>
    <w:rPr>
      <w:rFonts w:ascii="Lucida Sans" w:hAnsi="Lucida Sans"/>
      <w:sz w:val="18"/>
    </w:rPr>
  </w:style>
  <w:style w:type="character" w:customStyle="1" w:styleId="FooterChar">
    <w:name w:val="Footer Char"/>
    <w:link w:val="Footer"/>
    <w:rsid w:val="00DD408A"/>
    <w:rPr>
      <w:rFonts w:ascii="Lucida Sans" w:eastAsia="Times New Roman" w:hAnsi="Lucida Sans" w:cs="Times New Roman"/>
      <w:sz w:val="18"/>
      <w:szCs w:val="20"/>
      <w:lang w:val="en-US"/>
    </w:rPr>
  </w:style>
  <w:style w:type="paragraph" w:styleId="BalloonText">
    <w:name w:val="Balloon Text"/>
    <w:basedOn w:val="Normal"/>
    <w:link w:val="BalloonTextChar"/>
    <w:uiPriority w:val="99"/>
    <w:rsid w:val="00DD408A"/>
    <w:rPr>
      <w:rFonts w:ascii="Tahoma" w:hAnsi="Tahoma" w:cs="Tahoma"/>
      <w:sz w:val="16"/>
      <w:szCs w:val="16"/>
    </w:rPr>
  </w:style>
  <w:style w:type="character" w:customStyle="1" w:styleId="BalloonTextChar">
    <w:name w:val="Balloon Text Char"/>
    <w:link w:val="BalloonText"/>
    <w:uiPriority w:val="99"/>
    <w:rsid w:val="00DD408A"/>
    <w:rPr>
      <w:rFonts w:ascii="Tahoma" w:eastAsia="Times New Roman" w:hAnsi="Tahoma" w:cs="Tahoma"/>
      <w:sz w:val="16"/>
      <w:szCs w:val="16"/>
      <w:lang w:val="en-US"/>
    </w:rPr>
  </w:style>
  <w:style w:type="paragraph" w:customStyle="1" w:styleId="Activitytexts">
    <w:name w:val="Activity texts"/>
    <w:basedOn w:val="Normal"/>
    <w:autoRedefine/>
    <w:uiPriority w:val="99"/>
    <w:rsid w:val="00DD408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rsid w:val="00DD408A"/>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DD408A"/>
    <w:pPr>
      <w:widowControl/>
      <w:tabs>
        <w:tab w:val="left" w:pos="7371"/>
      </w:tabs>
    </w:pPr>
  </w:style>
  <w:style w:type="paragraph" w:customStyle="1" w:styleId="Activitytotallines">
    <w:name w:val="Activity total lines"/>
    <w:basedOn w:val="Activitytexts"/>
    <w:uiPriority w:val="99"/>
    <w:rsid w:val="00DD408A"/>
    <w:pPr>
      <w:tabs>
        <w:tab w:val="right" w:pos="5472"/>
        <w:tab w:val="right" w:pos="6464"/>
        <w:tab w:val="right" w:pos="6747"/>
        <w:tab w:val="right" w:pos="7740"/>
      </w:tabs>
    </w:pPr>
  </w:style>
  <w:style w:type="paragraph" w:customStyle="1" w:styleId="Agency">
    <w:name w:val="Agency"/>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DD408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DD408A"/>
  </w:style>
  <w:style w:type="character" w:customStyle="1" w:styleId="apple-tab-span">
    <w:name w:val="apple-tab-span"/>
    <w:rsid w:val="00DD408A"/>
  </w:style>
  <w:style w:type="character" w:customStyle="1" w:styleId="Arial-6">
    <w:name w:val="Arial-6"/>
    <w:rsid w:val="00DD408A"/>
    <w:rPr>
      <w:rFonts w:ascii="Lucida Sans" w:hAnsi="Lucida Sans" w:cs="Arial"/>
      <w:b/>
      <w:bCs/>
      <w:sz w:val="18"/>
      <w:szCs w:val="14"/>
    </w:rPr>
  </w:style>
  <w:style w:type="paragraph" w:customStyle="1" w:styleId="Averageframe">
    <w:name w:val="Average frame"/>
    <w:basedOn w:val="Normal"/>
    <w:uiPriority w:val="99"/>
    <w:rsid w:val="00DD408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ind w:left="357" w:hanging="357"/>
    </w:pPr>
    <w:rPr>
      <w:rFonts w:ascii="Arial" w:eastAsia="MS Mincho" w:hAnsi="Arial" w:cs="Arial"/>
      <w:lang w:val="en-AU" w:eastAsia="en-AU"/>
    </w:rPr>
  </w:style>
  <w:style w:type="paragraph" w:customStyle="1" w:styleId="Averagestaffingdata">
    <w:name w:val="Average staffing data"/>
    <w:basedOn w:val="Normal"/>
    <w:uiPriority w:val="99"/>
    <w:rsid w:val="00DD408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DD408A"/>
    <w:pPr>
      <w:tabs>
        <w:tab w:val="left" w:pos="6747"/>
      </w:tabs>
    </w:pPr>
  </w:style>
  <w:style w:type="paragraph" w:styleId="NoteHeading">
    <w:name w:val="Note Heading"/>
    <w:basedOn w:val="Normal"/>
    <w:next w:val="Normal"/>
    <w:link w:val="NoteHeadingChar"/>
    <w:rsid w:val="00DD408A"/>
  </w:style>
  <w:style w:type="character" w:customStyle="1" w:styleId="NoteHeadingChar">
    <w:name w:val="Note Heading Char"/>
    <w:link w:val="NoteHeading"/>
    <w:rsid w:val="00DD408A"/>
    <w:rPr>
      <w:rFonts w:ascii="Times New Roman" w:eastAsia="Times New Roman" w:hAnsi="Times New Roman" w:cs="Times New Roman"/>
      <w:sz w:val="20"/>
      <w:szCs w:val="20"/>
      <w:lang w:val="en-US"/>
    </w:rPr>
  </w:style>
  <w:style w:type="paragraph" w:customStyle="1" w:styleId="BlankPage">
    <w:name w:val="Blank Page"/>
    <w:basedOn w:val="NoteHeading"/>
    <w:rsid w:val="00DD408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customStyle="1" w:styleId="Body">
    <w:name w:val="Body"/>
    <w:basedOn w:val="Normal"/>
    <w:autoRedefine/>
    <w:uiPriority w:val="99"/>
    <w:rsid w:val="00DD408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rsid w:val="00DD408A"/>
    <w:rPr>
      <w:sz w:val="21"/>
    </w:rPr>
  </w:style>
  <w:style w:type="character" w:customStyle="1" w:styleId="BodyText2Char">
    <w:name w:val="Body Text 2 Char"/>
    <w:link w:val="BodyText2"/>
    <w:rsid w:val="00DD408A"/>
    <w:rPr>
      <w:rFonts w:ascii="Times New Roman" w:eastAsia="Times New Roman" w:hAnsi="Times New Roman" w:cs="Times New Roman"/>
      <w:sz w:val="21"/>
      <w:szCs w:val="20"/>
      <w:lang w:val="en-US"/>
    </w:rPr>
  </w:style>
  <w:style w:type="paragraph" w:customStyle="1" w:styleId="BodyTextBox">
    <w:name w:val="Body Text Box"/>
    <w:basedOn w:val="Normal"/>
    <w:link w:val="BodyTextBoxChar"/>
    <w:autoRedefine/>
    <w:rsid w:val="00DD408A"/>
    <w:pPr>
      <w:spacing w:before="80" w:after="80" w:line="260" w:lineRule="exact"/>
    </w:pPr>
    <w:rPr>
      <w:rFonts w:ascii="Arial" w:hAnsi="Arial"/>
      <w:color w:val="0579B9"/>
      <w:sz w:val="19"/>
      <w:szCs w:val="22"/>
    </w:rPr>
  </w:style>
  <w:style w:type="character" w:customStyle="1" w:styleId="BodyTextBoxChar">
    <w:name w:val="Body Text Box Char"/>
    <w:link w:val="BodyTextBox"/>
    <w:rsid w:val="00DD408A"/>
    <w:rPr>
      <w:rFonts w:ascii="Arial" w:eastAsia="Times New Roman" w:hAnsi="Arial" w:cs="Times New Roman"/>
      <w:color w:val="0579B9"/>
      <w:sz w:val="19"/>
      <w:lang w:val="en-US"/>
    </w:rPr>
  </w:style>
  <w:style w:type="paragraph" w:styleId="BodyTextIndent2">
    <w:name w:val="Body Text Indent 2"/>
    <w:basedOn w:val="Normal"/>
    <w:link w:val="BodyTextIndent2Char"/>
    <w:autoRedefine/>
    <w:rsid w:val="00DD408A"/>
    <w:pPr>
      <w:spacing w:after="120"/>
      <w:ind w:left="284"/>
    </w:pPr>
    <w:rPr>
      <w:i/>
      <w:sz w:val="23"/>
    </w:rPr>
  </w:style>
  <w:style w:type="character" w:customStyle="1" w:styleId="BodyTextIndent2Char">
    <w:name w:val="Body Text Indent 2 Char"/>
    <w:link w:val="BodyTextIndent2"/>
    <w:rsid w:val="00DD408A"/>
    <w:rPr>
      <w:rFonts w:ascii="Times New Roman" w:eastAsia="Times New Roman" w:hAnsi="Times New Roman" w:cs="Times New Roman"/>
      <w:i/>
      <w:sz w:val="23"/>
      <w:szCs w:val="20"/>
      <w:lang w:val="en-US"/>
    </w:rPr>
  </w:style>
  <w:style w:type="paragraph" w:customStyle="1" w:styleId="BodyTextlettereditaliclist">
    <w:name w:val="Body Text lettered italic list"/>
    <w:basedOn w:val="Normal"/>
    <w:rsid w:val="00DD408A"/>
    <w:pPr>
      <w:ind w:left="426" w:hanging="426"/>
    </w:pPr>
    <w:rPr>
      <w:i/>
    </w:rPr>
  </w:style>
  <w:style w:type="paragraph" w:customStyle="1" w:styleId="Bodytextnumbered">
    <w:name w:val="Body text numbered"/>
    <w:basedOn w:val="Heading1"/>
    <w:qFormat/>
    <w:rsid w:val="00DD408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rsid w:val="00DD408A"/>
    <w:pPr>
      <w:spacing w:line="360" w:lineRule="auto"/>
      <w:ind w:right="-17"/>
    </w:pPr>
    <w:rPr>
      <w:szCs w:val="24"/>
    </w:rPr>
  </w:style>
  <w:style w:type="character" w:customStyle="1" w:styleId="bodytextChar0">
    <w:name w:val="body text Char"/>
    <w:link w:val="BodyText1"/>
    <w:rsid w:val="00DD408A"/>
    <w:rPr>
      <w:rFonts w:ascii="Arial" w:eastAsia="Times New Roman" w:hAnsi="Arial" w:cs="Times New Roman"/>
      <w:sz w:val="20"/>
      <w:szCs w:val="24"/>
    </w:rPr>
  </w:style>
  <w:style w:type="character" w:customStyle="1" w:styleId="Bold">
    <w:name w:val="Bold"/>
    <w:uiPriority w:val="99"/>
    <w:rsid w:val="00DD408A"/>
    <w:rPr>
      <w:b/>
    </w:rPr>
  </w:style>
  <w:style w:type="character" w:styleId="BookTitle">
    <w:name w:val="Book Title"/>
    <w:uiPriority w:val="33"/>
    <w:qFormat/>
    <w:rsid w:val="00DD408A"/>
    <w:rPr>
      <w:b/>
      <w:bCs/>
      <w:smallCaps/>
      <w:spacing w:val="5"/>
    </w:rPr>
  </w:style>
  <w:style w:type="character" w:customStyle="1" w:styleId="Heading3Char">
    <w:name w:val="Heading 3 Char"/>
    <w:link w:val="Heading3"/>
    <w:rsid w:val="000F1E2C"/>
    <w:rPr>
      <w:rFonts w:ascii="Arial Bold" w:eastAsia="Arial Unicode MS" w:hAnsi="Arial Bold" w:cs="Times New Roman"/>
      <w:b/>
      <w:kern w:val="28"/>
      <w:sz w:val="26"/>
      <w:szCs w:val="36"/>
    </w:rPr>
  </w:style>
  <w:style w:type="paragraph" w:customStyle="1" w:styleId="ObjectHeading">
    <w:name w:val="Object Heading"/>
    <w:basedOn w:val="Heading3"/>
    <w:next w:val="Normal"/>
    <w:rsid w:val="00DD408A"/>
    <w:pPr>
      <w:tabs>
        <w:tab w:val="left" w:pos="1418"/>
      </w:tabs>
      <w:ind w:left="1418" w:hanging="1418"/>
    </w:pPr>
    <w:rPr>
      <w:kern w:val="0"/>
    </w:rPr>
  </w:style>
  <w:style w:type="paragraph" w:customStyle="1" w:styleId="BoxHeading">
    <w:name w:val="Box Heading"/>
    <w:basedOn w:val="ObjectHeading"/>
    <w:link w:val="BoxHeadingChar"/>
    <w:autoRedefine/>
    <w:rsid w:val="00DD408A"/>
    <w:pPr>
      <w:tabs>
        <w:tab w:val="clear" w:pos="1418"/>
        <w:tab w:val="left" w:pos="1168"/>
      </w:tabs>
      <w:spacing w:before="120" w:after="60"/>
      <w:ind w:left="1168" w:hanging="1168"/>
    </w:pPr>
    <w:rPr>
      <w:rFonts w:ascii="Arial" w:hAnsi="Arial"/>
      <w:b w:val="0"/>
      <w:bCs/>
      <w:szCs w:val="23"/>
      <w:lang w:val="en-US"/>
    </w:rPr>
  </w:style>
  <w:style w:type="character" w:customStyle="1" w:styleId="BoxHeadingChar">
    <w:name w:val="Box Heading Char"/>
    <w:link w:val="BoxHeading"/>
    <w:rsid w:val="00DD408A"/>
    <w:rPr>
      <w:rFonts w:ascii="Arial" w:eastAsia="Arial Unicode MS" w:hAnsi="Arial" w:cs="Times New Roman"/>
      <w:bCs/>
      <w:sz w:val="20"/>
      <w:szCs w:val="23"/>
      <w:lang w:val="en-US"/>
    </w:rPr>
  </w:style>
  <w:style w:type="paragraph" w:customStyle="1" w:styleId="Bullet">
    <w:name w:val="Bullet"/>
    <w:basedOn w:val="BodyText"/>
    <w:rsid w:val="00DD408A"/>
    <w:pPr>
      <w:numPr>
        <w:numId w:val="1"/>
      </w:numPr>
      <w:spacing w:before="180" w:after="180" w:line="288" w:lineRule="auto"/>
      <w:outlineLvl w:val="0"/>
    </w:pPr>
    <w:rPr>
      <w:rFonts w:cs="Arial"/>
      <w:szCs w:val="22"/>
    </w:rPr>
  </w:style>
  <w:style w:type="paragraph" w:customStyle="1" w:styleId="Bullet-1stlevel">
    <w:name w:val="Bullet - 1st level"/>
    <w:basedOn w:val="Normal"/>
    <w:qFormat/>
    <w:rsid w:val="00DD408A"/>
    <w:pPr>
      <w:numPr>
        <w:numId w:val="2"/>
      </w:numPr>
      <w:spacing w:before="60" w:after="60"/>
    </w:pPr>
    <w:rPr>
      <w:rFonts w:ascii="Arial" w:hAnsi="Arial" w:cs="Arial"/>
      <w:szCs w:val="18"/>
      <w:lang w:val="en-AU" w:bidi="en-US"/>
    </w:rPr>
  </w:style>
  <w:style w:type="paragraph" w:customStyle="1" w:styleId="Bullet1stlevel">
    <w:name w:val="Bullet – 1st level"/>
    <w:qFormat/>
    <w:rsid w:val="00DD408A"/>
    <w:pPr>
      <w:numPr>
        <w:numId w:val="3"/>
      </w:numPr>
      <w:spacing w:before="60" w:after="60" w:line="240" w:lineRule="auto"/>
    </w:pPr>
    <w:rPr>
      <w:rFonts w:ascii="Arial" w:eastAsia="Times New Roman" w:hAnsi="Arial" w:cs="Times New Roman"/>
      <w:sz w:val="20"/>
      <w:lang w:bidi="en-US"/>
    </w:r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1">
    <w:name w:val="Bullet 1"/>
    <w:link w:val="Bullet1Char"/>
    <w:autoRedefine/>
    <w:rsid w:val="00E34A12"/>
    <w:pPr>
      <w:numPr>
        <w:numId w:val="33"/>
      </w:numPr>
      <w:spacing w:before="120" w:after="80" w:line="240" w:lineRule="atLeast"/>
      <w:ind w:left="357" w:hanging="357"/>
    </w:pPr>
    <w:rPr>
      <w:rFonts w:ascii="Arial" w:eastAsia="Times New Roman" w:hAnsi="Arial" w:cs="Times New Roman"/>
      <w:sz w:val="23"/>
      <w:szCs w:val="23"/>
      <w:lang w:bidi="en-US"/>
    </w:rPr>
  </w:style>
  <w:style w:type="character" w:customStyle="1" w:styleId="Bullet1Char">
    <w:name w:val="Bullet 1 Char"/>
    <w:link w:val="Bullet1"/>
    <w:rsid w:val="00E34A12"/>
    <w:rPr>
      <w:rFonts w:ascii="Arial" w:eastAsia="Times New Roman" w:hAnsi="Arial" w:cs="Times New Roman"/>
      <w:sz w:val="23"/>
      <w:szCs w:val="23"/>
      <w:lang w:bidi="en-US"/>
    </w:rPr>
  </w:style>
  <w:style w:type="paragraph" w:customStyle="1" w:styleId="Bullet1box">
    <w:name w:val="Bullet 1 box"/>
    <w:basedOn w:val="Bullet1"/>
    <w:autoRedefine/>
    <w:rsid w:val="00DD408A"/>
    <w:pPr>
      <w:numPr>
        <w:numId w:val="4"/>
      </w:numPr>
      <w:shd w:val="clear" w:color="auto" w:fill="FFFFFF"/>
      <w:spacing w:line="260" w:lineRule="exact"/>
    </w:pPr>
  </w:style>
  <w:style w:type="paragraph" w:customStyle="1" w:styleId="Bullet1inabox">
    <w:name w:val="Bullet 1 in a box"/>
    <w:basedOn w:val="Bullet1"/>
    <w:autoRedefine/>
    <w:rsid w:val="00DD408A"/>
    <w:pPr>
      <w:numPr>
        <w:numId w:val="5"/>
      </w:numPr>
      <w:spacing w:before="80" w:after="40" w:line="260" w:lineRule="exact"/>
    </w:pPr>
    <w:rPr>
      <w:color w:val="0579B9"/>
      <w:sz w:val="19"/>
    </w:rPr>
  </w:style>
  <w:style w:type="paragraph" w:customStyle="1" w:styleId="Bullet1Paragraph">
    <w:name w:val="Bullet 1 Paragraph"/>
    <w:basedOn w:val="Normal"/>
    <w:rsid w:val="00DD408A"/>
    <w:pPr>
      <w:ind w:left="425"/>
    </w:pPr>
  </w:style>
  <w:style w:type="paragraph" w:customStyle="1" w:styleId="Bullet2">
    <w:name w:val="Bullet 2"/>
    <w:basedOn w:val="Bullet1"/>
    <w:rsid w:val="007C58CD"/>
    <w:pPr>
      <w:numPr>
        <w:numId w:val="6"/>
      </w:numPr>
      <w:tabs>
        <w:tab w:val="left" w:pos="851"/>
      </w:tabs>
      <w:spacing w:before="80" w:after="40"/>
      <w:ind w:left="714" w:hanging="357"/>
    </w:pPr>
  </w:style>
  <w:style w:type="paragraph" w:customStyle="1" w:styleId="Bullet2innumberedlist">
    <w:name w:val="Bullet 2 in numbered list"/>
    <w:basedOn w:val="Bullet2"/>
    <w:rsid w:val="00DD408A"/>
    <w:pPr>
      <w:numPr>
        <w:numId w:val="0"/>
      </w:numPr>
      <w:tabs>
        <w:tab w:val="num" w:pos="851"/>
      </w:tabs>
      <w:ind w:left="851" w:hanging="426"/>
    </w:pPr>
  </w:style>
  <w:style w:type="paragraph" w:customStyle="1" w:styleId="Bullet2Paragraph">
    <w:name w:val="Bullet 2 Paragraph"/>
    <w:basedOn w:val="Bullet1Paragraph"/>
    <w:rsid w:val="00DD408A"/>
    <w:pPr>
      <w:ind w:left="851"/>
    </w:pPr>
  </w:style>
  <w:style w:type="paragraph" w:customStyle="1" w:styleId="Bullet3">
    <w:name w:val="Bullet 3"/>
    <w:basedOn w:val="Bullet2"/>
    <w:rsid w:val="00DD408A"/>
    <w:pPr>
      <w:numPr>
        <w:numId w:val="7"/>
      </w:numPr>
    </w:pPr>
  </w:style>
  <w:style w:type="paragraph" w:customStyle="1" w:styleId="Bullet3Paragraph">
    <w:name w:val="Bullet 3 Paragraph"/>
    <w:basedOn w:val="Bullet2Paragraph"/>
    <w:rsid w:val="00DD408A"/>
    <w:pPr>
      <w:ind w:left="1276"/>
    </w:pPr>
  </w:style>
  <w:style w:type="paragraph" w:customStyle="1" w:styleId="Bullet4">
    <w:name w:val="Bullet 4"/>
    <w:basedOn w:val="Bullet3"/>
    <w:rsid w:val="00DD408A"/>
    <w:pPr>
      <w:numPr>
        <w:numId w:val="8"/>
      </w:numPr>
    </w:pPr>
  </w:style>
  <w:style w:type="paragraph" w:customStyle="1" w:styleId="Bullet4Paragraph">
    <w:name w:val="Bullet 4 Paragraph"/>
    <w:basedOn w:val="Bullet3Paragraph"/>
    <w:rsid w:val="00DD408A"/>
    <w:pPr>
      <w:ind w:left="1701"/>
    </w:pPr>
  </w:style>
  <w:style w:type="paragraph" w:customStyle="1" w:styleId="BulletPointStyle">
    <w:name w:val="Bullet Point Style"/>
    <w:basedOn w:val="BodyText"/>
    <w:link w:val="BulletPointStyleChar"/>
    <w:qFormat/>
    <w:rsid w:val="00DD408A"/>
    <w:pPr>
      <w:numPr>
        <w:numId w:val="10"/>
      </w:numPr>
      <w:spacing w:after="80"/>
    </w:pPr>
    <w:rPr>
      <w:rFonts w:ascii="Garamond" w:hAnsi="Garamond"/>
      <w:lang w:eastAsia="x-none"/>
    </w:rPr>
  </w:style>
  <w:style w:type="character" w:customStyle="1" w:styleId="BulletPointStyleChar">
    <w:name w:val="Bullet Point Style Char"/>
    <w:link w:val="BulletPointStyle"/>
    <w:locked/>
    <w:rsid w:val="00DD408A"/>
    <w:rPr>
      <w:rFonts w:ascii="Garamond" w:eastAsia="Times New Roman" w:hAnsi="Garamond" w:cs="Times New Roman"/>
      <w:sz w:val="23"/>
      <w:szCs w:val="20"/>
      <w:lang w:eastAsia="x-none"/>
    </w:rPr>
  </w:style>
  <w:style w:type="numbering" w:customStyle="1" w:styleId="BulletPoints">
    <w:name w:val="Bullet Points"/>
    <w:uiPriority w:val="99"/>
    <w:rsid w:val="00DD408A"/>
    <w:pPr>
      <w:numPr>
        <w:numId w:val="9"/>
      </w:numPr>
    </w:pPr>
  </w:style>
  <w:style w:type="paragraph" w:customStyle="1" w:styleId="Bulletpoints0">
    <w:name w:val="Bullet points"/>
    <w:basedOn w:val="Normal"/>
    <w:link w:val="BulletpointsChar"/>
    <w:qFormat/>
    <w:rsid w:val="00DD408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DD408A"/>
    <w:rPr>
      <w:rFonts w:ascii="Arial" w:eastAsia="Times New Roman" w:hAnsi="Arial" w:cs="Arial"/>
    </w:rPr>
  </w:style>
  <w:style w:type="paragraph" w:customStyle="1" w:styleId="OpStatementData">
    <w:name w:val="Op. Statement Data"/>
    <w:basedOn w:val="Normal"/>
    <w:autoRedefine/>
    <w:uiPriority w:val="99"/>
    <w:rsid w:val="00DD408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DD408A"/>
    <w:pPr>
      <w:pBdr>
        <w:top w:val="single" w:sz="6" w:space="1" w:color="auto"/>
      </w:pBdr>
    </w:pPr>
    <w:rPr>
      <w:b/>
      <w:bCs/>
    </w:rPr>
  </w:style>
  <w:style w:type="paragraph" w:styleId="Caption">
    <w:name w:val="caption"/>
    <w:basedOn w:val="Normal"/>
    <w:next w:val="Normal"/>
    <w:qFormat/>
    <w:rsid w:val="00DD408A"/>
    <w:pPr>
      <w:spacing w:before="120" w:after="120"/>
    </w:pPr>
    <w:rPr>
      <w:b/>
    </w:rPr>
  </w:style>
  <w:style w:type="character" w:customStyle="1" w:styleId="CentreLine">
    <w:name w:val="Centre Line"/>
    <w:uiPriority w:val="99"/>
    <w:rsid w:val="00DD408A"/>
    <w:rPr>
      <w:sz w:val="20"/>
      <w:u w:val="single"/>
      <w:vertAlign w:val="superscript"/>
    </w:rPr>
  </w:style>
  <w:style w:type="paragraph" w:customStyle="1" w:styleId="Chart1X">
    <w:name w:val="Chart 1.X"/>
    <w:basedOn w:val="Normal"/>
    <w:rsid w:val="00DD408A"/>
    <w:pPr>
      <w:keepLines/>
      <w:widowControl w:val="0"/>
      <w:tabs>
        <w:tab w:val="left" w:pos="992"/>
      </w:tabs>
      <w:autoSpaceDE w:val="0"/>
      <w:autoSpaceDN w:val="0"/>
      <w:spacing w:before="360" w:after="120"/>
    </w:pPr>
    <w:rPr>
      <w:rFonts w:ascii="Arial" w:hAnsi="Arial"/>
      <w:i/>
      <w:color w:val="57514D"/>
      <w:lang w:val="en-AU" w:eastAsia="en-AU"/>
    </w:rPr>
  </w:style>
  <w:style w:type="paragraph" w:customStyle="1" w:styleId="TableHeading">
    <w:name w:val="Table Heading"/>
    <w:basedOn w:val="Normal"/>
    <w:link w:val="TableHeadingChar"/>
    <w:autoRedefine/>
    <w:rsid w:val="00DD408A"/>
    <w:pPr>
      <w:keepNext/>
      <w:keepLines/>
      <w:numPr>
        <w:numId w:val="11"/>
      </w:numPr>
      <w:spacing w:before="120" w:after="120"/>
    </w:pPr>
    <w:rPr>
      <w:rFonts w:ascii="Arial" w:hAnsi="Arial"/>
      <w:b/>
      <w:sz w:val="24"/>
    </w:rPr>
  </w:style>
  <w:style w:type="character" w:customStyle="1" w:styleId="TableHeadingChar">
    <w:name w:val="Table Heading Char"/>
    <w:link w:val="TableHeading"/>
    <w:rsid w:val="00DD408A"/>
    <w:rPr>
      <w:rFonts w:ascii="Arial" w:eastAsia="Times New Roman" w:hAnsi="Arial" w:cs="Times New Roman"/>
      <w:b/>
      <w:sz w:val="24"/>
      <w:szCs w:val="20"/>
      <w:lang w:val="en-US"/>
    </w:rPr>
  </w:style>
  <w:style w:type="paragraph" w:customStyle="1" w:styleId="TableEX">
    <w:name w:val="Table E.X"/>
    <w:basedOn w:val="TableHeading"/>
    <w:rsid w:val="000F1E2C"/>
    <w:pPr>
      <w:keepNext w:val="0"/>
      <w:keepLines w:val="0"/>
      <w:widowControl w:val="0"/>
      <w:numPr>
        <w:numId w:val="12"/>
      </w:numPr>
      <w:tabs>
        <w:tab w:val="left" w:pos="1304"/>
      </w:tabs>
      <w:spacing w:before="240"/>
      <w:ind w:left="1134" w:hanging="1134"/>
    </w:pPr>
    <w:rPr>
      <w:b w:val="0"/>
      <w:bCs/>
      <w:i/>
      <w:color w:val="57514D"/>
      <w:kern w:val="28"/>
      <w:sz w:val="22"/>
      <w:szCs w:val="22"/>
    </w:rPr>
  </w:style>
  <w:style w:type="paragraph" w:customStyle="1" w:styleId="Chart2X">
    <w:name w:val="Chart 2.X"/>
    <w:basedOn w:val="TableEX"/>
    <w:rsid w:val="00DD408A"/>
    <w:pPr>
      <w:numPr>
        <w:numId w:val="13"/>
      </w:numPr>
    </w:pPr>
  </w:style>
  <w:style w:type="paragraph" w:customStyle="1" w:styleId="Chart3X">
    <w:name w:val="Chart 3.X"/>
    <w:basedOn w:val="TableEX"/>
    <w:rsid w:val="00DD408A"/>
    <w:pPr>
      <w:numPr>
        <w:numId w:val="14"/>
      </w:numPr>
      <w:spacing w:before="600"/>
    </w:pPr>
    <w:rPr>
      <w:rFonts w:ascii="Lucida Sans" w:hAnsi="Lucida Sans"/>
      <w:color w:val="auto"/>
    </w:rPr>
  </w:style>
  <w:style w:type="paragraph" w:customStyle="1" w:styleId="TableXX">
    <w:name w:val="Table X.X"/>
    <w:basedOn w:val="Normal"/>
    <w:rsid w:val="00DD408A"/>
    <w:pPr>
      <w:widowControl w:val="0"/>
      <w:numPr>
        <w:numId w:val="15"/>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DD408A"/>
    <w:pPr>
      <w:numPr>
        <w:numId w:val="16"/>
      </w:numPr>
      <w:tabs>
        <w:tab w:val="clear" w:pos="1232"/>
        <w:tab w:val="left" w:pos="851"/>
        <w:tab w:val="left" w:pos="1418"/>
      </w:tabs>
    </w:pPr>
    <w:rPr>
      <w:rFonts w:ascii="Arial" w:eastAsia="Arial Unicode MS" w:hAnsi="Arial"/>
      <w:i/>
      <w:color w:val="57514D"/>
    </w:rPr>
  </w:style>
  <w:style w:type="paragraph" w:customStyle="1" w:styleId="Chart6X">
    <w:name w:val="Chart 6.X"/>
    <w:basedOn w:val="Normal"/>
    <w:rsid w:val="00DD408A"/>
    <w:pPr>
      <w:keepLines/>
      <w:spacing w:before="360" w:after="120"/>
    </w:pPr>
    <w:rPr>
      <w:rFonts w:ascii="Lucida Sans" w:hAnsi="Lucida Sans"/>
      <w:sz w:val="22"/>
    </w:rPr>
  </w:style>
  <w:style w:type="paragraph" w:customStyle="1" w:styleId="Table7X">
    <w:name w:val="Table 7.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Chart7X">
    <w:name w:val="Chart 7.X"/>
    <w:basedOn w:val="Table7X"/>
    <w:rsid w:val="00DD408A"/>
    <w:pPr>
      <w:tabs>
        <w:tab w:val="clear" w:pos="1232"/>
      </w:tabs>
      <w:ind w:left="1418" w:hanging="1418"/>
    </w:pPr>
  </w:style>
  <w:style w:type="paragraph" w:customStyle="1" w:styleId="Chart9X">
    <w:name w:val="Chart 9.X"/>
    <w:basedOn w:val="Normal"/>
    <w:rsid w:val="00DD408A"/>
    <w:pPr>
      <w:widowControl w:val="0"/>
      <w:spacing w:before="360" w:after="120"/>
      <w:ind w:left="1418" w:hanging="1418"/>
    </w:pPr>
    <w:rPr>
      <w:rFonts w:ascii="Lucida Sans" w:hAnsi="Lucida Sans"/>
      <w:bCs/>
      <w:kern w:val="28"/>
      <w:sz w:val="22"/>
      <w:szCs w:val="22"/>
    </w:rPr>
  </w:style>
  <w:style w:type="paragraph" w:customStyle="1" w:styleId="ChartB4X">
    <w:name w:val="Chart B4.X"/>
    <w:basedOn w:val="Normal"/>
    <w:rsid w:val="00DD408A"/>
    <w:pPr>
      <w:widowControl w:val="0"/>
      <w:numPr>
        <w:numId w:val="17"/>
      </w:numPr>
      <w:spacing w:before="360" w:after="120"/>
    </w:pPr>
    <w:rPr>
      <w:rFonts w:ascii="Arial" w:hAnsi="Arial"/>
      <w:b/>
      <w:bCs/>
      <w:kern w:val="28"/>
      <w:sz w:val="22"/>
      <w:szCs w:val="22"/>
    </w:rPr>
  </w:style>
  <w:style w:type="paragraph" w:customStyle="1" w:styleId="ChartHeading">
    <w:name w:val="Chart Heading"/>
    <w:basedOn w:val="Normal"/>
    <w:autoRedefine/>
    <w:rsid w:val="00DD408A"/>
    <w:pPr>
      <w:keepNext/>
      <w:widowControl w:val="0"/>
      <w:spacing w:before="240" w:after="120"/>
    </w:pPr>
    <w:rPr>
      <w:rFonts w:ascii="Arial" w:hAnsi="Arial"/>
      <w:b/>
      <w:sz w:val="24"/>
    </w:rPr>
  </w:style>
  <w:style w:type="paragraph" w:customStyle="1" w:styleId="Chartpara">
    <w:name w:val="Chart para"/>
    <w:basedOn w:val="Normal"/>
    <w:semiHidden/>
    <w:rsid w:val="00DD408A"/>
    <w:rPr>
      <w:rFonts w:ascii="Garamond" w:hAnsi="Garamond"/>
      <w:sz w:val="22"/>
      <w:lang w:val="en-AU"/>
    </w:rPr>
  </w:style>
  <w:style w:type="paragraph" w:customStyle="1" w:styleId="ChartEX">
    <w:name w:val="Chart E.X"/>
    <w:basedOn w:val="Normal"/>
    <w:rsid w:val="001E056C"/>
    <w:pPr>
      <w:keepLines/>
      <w:numPr>
        <w:numId w:val="18"/>
      </w:numPr>
      <w:tabs>
        <w:tab w:val="left" w:pos="1304"/>
      </w:tabs>
      <w:spacing w:before="240" w:after="120"/>
      <w:ind w:left="357" w:hanging="357"/>
    </w:pPr>
    <w:rPr>
      <w:rFonts w:ascii="Arial" w:hAnsi="Arial"/>
      <w:i/>
      <w:color w:val="57514D"/>
      <w:sz w:val="22"/>
    </w:rPr>
  </w:style>
  <w:style w:type="character" w:styleId="CommentReference">
    <w:name w:val="annotation reference"/>
    <w:uiPriority w:val="99"/>
    <w:rsid w:val="00DD408A"/>
    <w:rPr>
      <w:sz w:val="16"/>
      <w:szCs w:val="16"/>
    </w:rPr>
  </w:style>
  <w:style w:type="paragraph" w:styleId="CommentText">
    <w:name w:val="annotation text"/>
    <w:basedOn w:val="Normal"/>
    <w:link w:val="CommentTextChar"/>
    <w:uiPriority w:val="99"/>
    <w:rsid w:val="00DD408A"/>
  </w:style>
  <w:style w:type="character" w:customStyle="1" w:styleId="CommentTextChar">
    <w:name w:val="Comment Text Char"/>
    <w:link w:val="CommentText"/>
    <w:uiPriority w:val="99"/>
    <w:rsid w:val="00DD40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D408A"/>
    <w:rPr>
      <w:b/>
      <w:bCs/>
    </w:rPr>
  </w:style>
  <w:style w:type="character" w:customStyle="1" w:styleId="CommentSubjectChar">
    <w:name w:val="Comment Subject Char"/>
    <w:link w:val="CommentSubject"/>
    <w:rsid w:val="00DD408A"/>
    <w:rPr>
      <w:rFonts w:ascii="Times New Roman" w:eastAsia="Times New Roman" w:hAnsi="Times New Roman" w:cs="Times New Roman"/>
      <w:b/>
      <w:bCs/>
      <w:sz w:val="20"/>
      <w:szCs w:val="20"/>
      <w:lang w:val="en-US"/>
    </w:rPr>
  </w:style>
  <w:style w:type="paragraph" w:customStyle="1" w:styleId="Default">
    <w:name w:val="Default"/>
    <w:rsid w:val="00DD408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pt">
    <w:name w:val="Dept"/>
    <w:basedOn w:val="Normal"/>
    <w:autoRedefine/>
    <w:rsid w:val="00DD408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rsid w:val="00DD408A"/>
    <w:pPr>
      <w:shd w:val="clear" w:color="auto" w:fill="000080"/>
    </w:pPr>
    <w:rPr>
      <w:rFonts w:ascii="Tahoma" w:hAnsi="Tahoma" w:cs="Tahoma"/>
    </w:rPr>
  </w:style>
  <w:style w:type="character" w:customStyle="1" w:styleId="DocumentMapChar">
    <w:name w:val="Document Map Char"/>
    <w:link w:val="DocumentMap"/>
    <w:rsid w:val="00DD408A"/>
    <w:rPr>
      <w:rFonts w:ascii="Tahoma" w:eastAsia="Times New Roman" w:hAnsi="Tahoma" w:cs="Tahoma"/>
      <w:sz w:val="20"/>
      <w:szCs w:val="20"/>
      <w:shd w:val="clear" w:color="auto" w:fill="000080"/>
      <w:lang w:val="en-US"/>
    </w:rPr>
  </w:style>
  <w:style w:type="paragraph" w:customStyle="1" w:styleId="DoubleBorder">
    <w:name w:val="Double Border"/>
    <w:basedOn w:val="Agency2"/>
    <w:uiPriority w:val="99"/>
    <w:rsid w:val="00DD408A"/>
    <w:pPr>
      <w:pBdr>
        <w:top w:val="single" w:sz="6" w:space="1" w:color="auto"/>
        <w:bottom w:val="single" w:sz="6" w:space="1" w:color="auto"/>
      </w:pBdr>
    </w:pPr>
    <w:rPr>
      <w:sz w:val="18"/>
      <w:szCs w:val="18"/>
    </w:rPr>
  </w:style>
  <w:style w:type="character" w:styleId="Emphasis">
    <w:name w:val="Emphasis"/>
    <w:qFormat/>
    <w:rsid w:val="00DD408A"/>
    <w:rPr>
      <w:i/>
      <w:iCs/>
    </w:rPr>
  </w:style>
  <w:style w:type="character" w:styleId="EndnoteReference">
    <w:name w:val="endnote reference"/>
    <w:rsid w:val="00DD408A"/>
    <w:rPr>
      <w:i/>
      <w:sz w:val="16"/>
      <w:vertAlign w:val="superscript"/>
    </w:rPr>
  </w:style>
  <w:style w:type="paragraph" w:styleId="EndnoteText">
    <w:name w:val="endnote text"/>
    <w:basedOn w:val="Normal"/>
    <w:link w:val="EndnoteTextChar"/>
    <w:rsid w:val="00DD408A"/>
  </w:style>
  <w:style w:type="character" w:customStyle="1" w:styleId="EndnoteTextChar">
    <w:name w:val="Endnote Text Char"/>
    <w:link w:val="EndnoteText"/>
    <w:rsid w:val="00DD408A"/>
    <w:rPr>
      <w:rFonts w:ascii="Times New Roman" w:eastAsia="Times New Roman" w:hAnsi="Times New Roman" w:cs="Times New Roman"/>
      <w:sz w:val="20"/>
      <w:szCs w:val="20"/>
      <w:lang w:val="en-US"/>
    </w:rPr>
  </w:style>
  <w:style w:type="paragraph" w:customStyle="1" w:styleId="Estimates-BudgetYear">
    <w:name w:val="Estimates - Budget Year"/>
    <w:basedOn w:val="Normal"/>
    <w:uiPriority w:val="99"/>
    <w:rsid w:val="00DD408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DD408A"/>
    <w:pPr>
      <w:pageBreakBefore/>
      <w:pBdr>
        <w:bottom w:val="single" w:sz="6" w:space="6" w:color="auto"/>
      </w:pBdr>
    </w:pPr>
    <w:rPr>
      <w:sz w:val="20"/>
      <w:szCs w:val="20"/>
    </w:rPr>
  </w:style>
  <w:style w:type="character" w:styleId="FollowedHyperlink">
    <w:name w:val="FollowedHyperlink"/>
    <w:rsid w:val="00DD408A"/>
    <w:rPr>
      <w:color w:val="800080"/>
      <w:u w:val="single"/>
    </w:rPr>
  </w:style>
  <w:style w:type="character" w:styleId="FootnoteReference">
    <w:name w:val="footnote reference"/>
    <w:uiPriority w:val="99"/>
    <w:rsid w:val="00DD408A"/>
    <w:rPr>
      <w:vertAlign w:val="superscript"/>
    </w:rPr>
  </w:style>
  <w:style w:type="paragraph" w:styleId="FootnoteText">
    <w:name w:val="footnote text"/>
    <w:basedOn w:val="Normal"/>
    <w:link w:val="FootnoteTextChar"/>
    <w:uiPriority w:val="99"/>
    <w:rsid w:val="00DD408A"/>
    <w:pPr>
      <w:spacing w:before="80" w:after="80"/>
      <w:ind w:left="709" w:hanging="142"/>
    </w:pPr>
    <w:rPr>
      <w:i/>
      <w:sz w:val="16"/>
    </w:rPr>
  </w:style>
  <w:style w:type="character" w:customStyle="1" w:styleId="FootnoteTextChar">
    <w:name w:val="Footnote Text Char"/>
    <w:link w:val="FootnoteText"/>
    <w:uiPriority w:val="99"/>
    <w:rsid w:val="00DD408A"/>
    <w:rPr>
      <w:rFonts w:ascii="Times New Roman" w:eastAsia="Times New Roman" w:hAnsi="Times New Roman" w:cs="Times New Roman"/>
      <w:i/>
      <w:sz w:val="16"/>
      <w:szCs w:val="20"/>
      <w:lang w:val="en-US"/>
    </w:rPr>
  </w:style>
  <w:style w:type="paragraph" w:customStyle="1" w:styleId="Graph1X">
    <w:name w:val="Graph 1.X"/>
    <w:basedOn w:val="TableEX"/>
    <w:qFormat/>
    <w:rsid w:val="00DD408A"/>
    <w:pPr>
      <w:numPr>
        <w:numId w:val="19"/>
      </w:numPr>
    </w:pPr>
  </w:style>
  <w:style w:type="paragraph" w:customStyle="1" w:styleId="HeaderHeading">
    <w:name w:val="Header Heading"/>
    <w:basedOn w:val="Normal"/>
    <w:rsid w:val="00DD408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Heading-Centred">
    <w:name w:val="Heading - Centred"/>
    <w:qFormat/>
    <w:rsid w:val="00DD408A"/>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qFormat/>
    <w:rsid w:val="00DD408A"/>
    <w:pPr>
      <w:spacing w:after="0" w:line="240" w:lineRule="auto"/>
      <w:jc w:val="center"/>
    </w:pPr>
    <w:rPr>
      <w:rFonts w:ascii="Arial" w:eastAsia="Times New Roman" w:hAnsi="Arial" w:cs="Times New Roman"/>
      <w:b/>
      <w:bCs/>
      <w:sz w:val="20"/>
      <w:szCs w:val="28"/>
      <w:lang w:bidi="en-US"/>
    </w:rPr>
  </w:style>
  <w:style w:type="paragraph" w:customStyle="1" w:styleId="Heading1BP2">
    <w:name w:val="Heading 1 BP2"/>
    <w:rsid w:val="00DD408A"/>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rsid w:val="00DD408A"/>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3Char1">
    <w:name w:val="Heading 3 Char1"/>
    <w:rsid w:val="00DD408A"/>
    <w:rPr>
      <w:rFonts w:ascii="Lucida Sans" w:eastAsia="Times New Roman" w:hAnsi="Lucida Sans" w:cs="Times New Roman"/>
      <w:b/>
      <w:kern w:val="28"/>
      <w:sz w:val="24"/>
      <w:szCs w:val="36"/>
    </w:rPr>
  </w:style>
  <w:style w:type="character" w:customStyle="1" w:styleId="Heading4Char">
    <w:name w:val="Heading 4 Char"/>
    <w:link w:val="Heading4"/>
    <w:rsid w:val="00181A01"/>
    <w:rPr>
      <w:rFonts w:ascii="Arial Bold" w:eastAsia="Arial Unicode MS" w:hAnsi="Arial Bold" w:cs="Times New Roman"/>
      <w:b/>
      <w:kern w:val="28"/>
      <w:sz w:val="25"/>
      <w:szCs w:val="36"/>
    </w:rPr>
  </w:style>
  <w:style w:type="character" w:customStyle="1" w:styleId="Heading5Char">
    <w:name w:val="Heading 5 Char"/>
    <w:link w:val="Heading5"/>
    <w:rsid w:val="00D216D4"/>
    <w:rPr>
      <w:rFonts w:ascii="Arial" w:eastAsia="Arial Unicode MS" w:hAnsi="Arial" w:cs="Times New Roman"/>
      <w:i/>
      <w:kern w:val="28"/>
      <w:sz w:val="24"/>
      <w:szCs w:val="36"/>
    </w:rPr>
  </w:style>
  <w:style w:type="character" w:customStyle="1" w:styleId="Heading6Char">
    <w:name w:val="Heading 6 Char"/>
    <w:link w:val="Heading6"/>
    <w:rsid w:val="00DD408A"/>
    <w:rPr>
      <w:rFonts w:ascii="Arial" w:eastAsia="Times New Roman" w:hAnsi="Arial" w:cs="Times New Roman"/>
      <w:caps/>
      <w:color w:val="1D3278"/>
      <w:sz w:val="20"/>
      <w:szCs w:val="36"/>
    </w:rPr>
  </w:style>
  <w:style w:type="character" w:customStyle="1" w:styleId="Heading7Char">
    <w:name w:val="Heading 7 Char"/>
    <w:link w:val="Heading7"/>
    <w:rsid w:val="00DD408A"/>
    <w:rPr>
      <w:rFonts w:ascii="Arial" w:eastAsia="Arial Unicode MS" w:hAnsi="Arial" w:cs="Times New Roman"/>
      <w:b/>
      <w:kern w:val="28"/>
      <w:sz w:val="23"/>
      <w:szCs w:val="36"/>
    </w:rPr>
  </w:style>
  <w:style w:type="character" w:customStyle="1" w:styleId="Heading8Char">
    <w:name w:val="Heading 8 Char"/>
    <w:link w:val="Heading8"/>
    <w:rsid w:val="00DD408A"/>
    <w:rPr>
      <w:rFonts w:ascii="Arial" w:eastAsia="Arial Unicode MS" w:hAnsi="Arial" w:cs="Times New Roman"/>
      <w:b/>
      <w:i/>
      <w:kern w:val="28"/>
      <w:sz w:val="23"/>
      <w:szCs w:val="36"/>
    </w:rPr>
  </w:style>
  <w:style w:type="character" w:customStyle="1" w:styleId="Heading9Char">
    <w:name w:val="Heading 9 Char"/>
    <w:link w:val="Heading9"/>
    <w:rsid w:val="00DD408A"/>
    <w:rPr>
      <w:rFonts w:ascii="Arial" w:eastAsia="Arial Unicode MS" w:hAnsi="Arial" w:cs="Times New Roman"/>
      <w:b/>
      <w:kern w:val="28"/>
      <w:sz w:val="23"/>
      <w:szCs w:val="36"/>
    </w:rPr>
  </w:style>
  <w:style w:type="character" w:styleId="Hyperlink">
    <w:name w:val="Hyperlink"/>
    <w:uiPriority w:val="99"/>
    <w:unhideWhenUsed/>
    <w:rsid w:val="00DD408A"/>
    <w:rPr>
      <w:color w:val="0000FF"/>
      <w:u w:val="single"/>
    </w:rPr>
  </w:style>
  <w:style w:type="character" w:styleId="IntenseEmphasis">
    <w:name w:val="Intense Emphasis"/>
    <w:uiPriority w:val="21"/>
    <w:qFormat/>
    <w:rsid w:val="00DD408A"/>
    <w:rPr>
      <w:b/>
      <w:bCs/>
      <w:i/>
      <w:iCs/>
      <w:color w:val="4F81BD"/>
    </w:rPr>
  </w:style>
  <w:style w:type="paragraph" w:styleId="IntenseQuote">
    <w:name w:val="Intense Quote"/>
    <w:basedOn w:val="Normal"/>
    <w:next w:val="Normal"/>
    <w:link w:val="IntenseQuoteChar"/>
    <w:uiPriority w:val="30"/>
    <w:qFormat/>
    <w:rsid w:val="00DD4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08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DD408A"/>
    <w:rPr>
      <w:b/>
      <w:bCs/>
      <w:smallCaps/>
      <w:color w:val="C0504D"/>
      <w:spacing w:val="5"/>
      <w:u w:val="single"/>
    </w:rPr>
  </w:style>
  <w:style w:type="paragraph" w:customStyle="1" w:styleId="Keypointsheading">
    <w:name w:val="Key points heading"/>
    <w:basedOn w:val="Heading2"/>
    <w:next w:val="Bullet"/>
    <w:rsid w:val="00DD408A"/>
    <w:pPr>
      <w:keepNext w:val="0"/>
      <w:widowControl/>
      <w:spacing w:before="360" w:after="180"/>
    </w:pPr>
    <w:rPr>
      <w:rFonts w:cs="Arial"/>
      <w:b w:val="0"/>
      <w:color w:val="003366"/>
      <w:kern w:val="0"/>
      <w:szCs w:val="24"/>
    </w:rPr>
  </w:style>
  <w:style w:type="paragraph" w:styleId="ListBullet">
    <w:name w:val="List Bullet"/>
    <w:basedOn w:val="Normal"/>
    <w:uiPriority w:val="1"/>
    <w:qFormat/>
    <w:rsid w:val="00DD408A"/>
    <w:pPr>
      <w:spacing w:after="80" w:line="240" w:lineRule="atLeast"/>
    </w:pPr>
    <w:rPr>
      <w:rFonts w:ascii="Calibri" w:hAnsi="Calibri"/>
      <w:sz w:val="18"/>
      <w:szCs w:val="24"/>
      <w:lang w:val="en-AU" w:eastAsia="en-AU"/>
    </w:rPr>
  </w:style>
  <w:style w:type="paragraph" w:styleId="ListBullet3">
    <w:name w:val="List Bullet 3"/>
    <w:basedOn w:val="Normal"/>
    <w:rsid w:val="00DD408A"/>
    <w:pPr>
      <w:numPr>
        <w:numId w:val="20"/>
      </w:numPr>
    </w:pPr>
  </w:style>
  <w:style w:type="paragraph" w:customStyle="1" w:styleId="ListBullet1">
    <w:name w:val="List Bullet1"/>
    <w:basedOn w:val="Normal"/>
    <w:autoRedefine/>
    <w:rsid w:val="00DD408A"/>
    <w:pPr>
      <w:numPr>
        <w:numId w:val="21"/>
      </w:numPr>
      <w:spacing w:line="360" w:lineRule="auto"/>
    </w:pPr>
    <w:rPr>
      <w:rFonts w:ascii="Arial" w:hAnsi="Arial"/>
      <w:sz w:val="28"/>
      <w:lang w:val="en-AU"/>
    </w:rPr>
  </w:style>
  <w:style w:type="paragraph" w:styleId="ListNumber">
    <w:name w:val="List Number"/>
    <w:basedOn w:val="Normal"/>
    <w:uiPriority w:val="1"/>
    <w:qFormat/>
    <w:rsid w:val="00DD408A"/>
    <w:pPr>
      <w:numPr>
        <w:numId w:val="22"/>
      </w:numPr>
      <w:spacing w:after="80" w:line="240" w:lineRule="atLeast"/>
    </w:pPr>
    <w:rPr>
      <w:rFonts w:ascii="Calibri" w:eastAsia="Calibri" w:hAnsi="Calibri"/>
      <w:sz w:val="18"/>
      <w:szCs w:val="22"/>
      <w:lang w:val="en-AU"/>
    </w:rPr>
  </w:style>
  <w:style w:type="paragraph" w:customStyle="1" w:styleId="Marginalnote">
    <w:name w:val="Marginal note"/>
    <w:basedOn w:val="BodyText"/>
    <w:link w:val="MarginalnoteChar"/>
    <w:semiHidden/>
    <w:rsid w:val="00DD408A"/>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DD408A"/>
    <w:rPr>
      <w:rFonts w:ascii="Arial" w:eastAsia="Times New Roman" w:hAnsi="Arial" w:cs="Arial"/>
      <w:color w:val="000000"/>
      <w:sz w:val="19"/>
      <w:lang w:eastAsia="en-AU"/>
    </w:rPr>
  </w:style>
  <w:style w:type="paragraph" w:customStyle="1" w:styleId="Minister">
    <w:name w:val="Minister"/>
    <w:basedOn w:val="Normal"/>
    <w:uiPriority w:val="99"/>
    <w:rsid w:val="00DD408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DD408A"/>
    <w:pPr>
      <w:widowControl w:val="0"/>
      <w:autoSpaceDE w:val="0"/>
      <w:autoSpaceDN w:val="0"/>
      <w:adjustRightInd w:val="0"/>
    </w:pPr>
    <w:rPr>
      <w:rFonts w:ascii="Lucida Sans" w:eastAsia="MS Mincho" w:hAnsi="Lucida Sans" w:cs="Arial"/>
      <w:b/>
      <w:bCs/>
      <w:szCs w:val="24"/>
      <w:lang w:val="en-AU" w:eastAsia="en-AU"/>
    </w:rPr>
  </w:style>
  <w:style w:type="paragraph" w:styleId="NoSpacing">
    <w:name w:val="No Spacing"/>
    <w:basedOn w:val="Normal"/>
    <w:link w:val="NoSpacingChar"/>
    <w:qFormat/>
    <w:rsid w:val="00DD408A"/>
  </w:style>
  <w:style w:type="character" w:customStyle="1" w:styleId="NoSpacingChar">
    <w:name w:val="No Spacing Char"/>
    <w:link w:val="NoSpacing"/>
    <w:rsid w:val="00DD408A"/>
    <w:rPr>
      <w:rFonts w:ascii="Times New Roman" w:eastAsia="Times New Roman" w:hAnsi="Times New Roman" w:cs="Times New Roman"/>
      <w:sz w:val="20"/>
      <w:szCs w:val="20"/>
      <w:lang w:val="en-US"/>
    </w:rPr>
  </w:style>
  <w:style w:type="paragraph" w:styleId="NormalWeb">
    <w:name w:val="Normal (Web)"/>
    <w:basedOn w:val="Normal"/>
    <w:uiPriority w:val="99"/>
    <w:rsid w:val="00DD408A"/>
    <w:pPr>
      <w:widowControl w:val="0"/>
      <w:numPr>
        <w:numId w:val="23"/>
      </w:numPr>
      <w:autoSpaceDE w:val="0"/>
      <w:autoSpaceDN w:val="0"/>
    </w:pPr>
    <w:rPr>
      <w:rFonts w:ascii=".." w:hAnsi=".."/>
      <w:lang w:val="en-AU" w:eastAsia="en-AU"/>
    </w:rPr>
  </w:style>
  <w:style w:type="paragraph" w:customStyle="1" w:styleId="Object">
    <w:name w:val="Object"/>
    <w:basedOn w:val="Normal"/>
    <w:next w:val="Normal"/>
    <w:rsid w:val="00DD408A"/>
    <w:pPr>
      <w:jc w:val="center"/>
    </w:pPr>
  </w:style>
  <w:style w:type="paragraph" w:customStyle="1" w:styleId="ObjectFootnote">
    <w:name w:val="Object Footnote"/>
    <w:basedOn w:val="Object"/>
    <w:next w:val="Normal"/>
    <w:rsid w:val="00DD408A"/>
    <w:pPr>
      <w:spacing w:after="60"/>
    </w:pPr>
    <w:rPr>
      <w:i/>
      <w:sz w:val="14"/>
    </w:rPr>
  </w:style>
  <w:style w:type="paragraph" w:customStyle="1" w:styleId="ObjectFootnotelettered">
    <w:name w:val="Object Footnote lettered"/>
    <w:basedOn w:val="ObjectFootnote"/>
    <w:rsid w:val="00DD408A"/>
    <w:pPr>
      <w:tabs>
        <w:tab w:val="left" w:pos="709"/>
      </w:tabs>
      <w:ind w:left="426"/>
      <w:jc w:val="left"/>
    </w:pPr>
  </w:style>
  <w:style w:type="paragraph" w:customStyle="1" w:styleId="ObjectFootnoteleft">
    <w:name w:val="Object Footnote left"/>
    <w:basedOn w:val="ObjectFootnotelettered"/>
    <w:rsid w:val="00DD408A"/>
    <w:pPr>
      <w:ind w:left="709" w:hanging="283"/>
    </w:pPr>
  </w:style>
  <w:style w:type="paragraph" w:customStyle="1" w:styleId="ObjectivesandDescr">
    <w:name w:val="Objectives and Descr"/>
    <w:basedOn w:val="Normal"/>
    <w:autoRedefine/>
    <w:uiPriority w:val="99"/>
    <w:rsid w:val="00DD408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DD408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DD408A"/>
    <w:pPr>
      <w:tabs>
        <w:tab w:val="clear" w:pos="6236"/>
        <w:tab w:val="clear" w:pos="6803"/>
        <w:tab w:val="clear" w:pos="7370"/>
        <w:tab w:val="center" w:pos="6826"/>
      </w:tabs>
    </w:pPr>
  </w:style>
  <w:style w:type="paragraph" w:customStyle="1" w:styleId="OpStatementSub">
    <w:name w:val="Op.Statement Sub"/>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DD408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DD408A"/>
    <w:pPr>
      <w:spacing w:line="201" w:lineRule="atLeast"/>
    </w:pPr>
    <w:rPr>
      <w:rFonts w:ascii="Gotham Narrow Light" w:hAnsi="Gotham Narrow Light" w:cs="Times New Roman"/>
      <w:color w:val="auto"/>
    </w:rPr>
  </w:style>
  <w:style w:type="character" w:styleId="PageNumber">
    <w:name w:val="page number"/>
    <w:rsid w:val="00DD408A"/>
  </w:style>
  <w:style w:type="paragraph" w:customStyle="1" w:styleId="Program">
    <w:name w:val="Program"/>
    <w:basedOn w:val="Normal"/>
    <w:uiPriority w:val="99"/>
    <w:rsid w:val="00DD408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styleId="Quote">
    <w:name w:val="Quote"/>
    <w:basedOn w:val="Normal"/>
    <w:next w:val="Normal"/>
    <w:link w:val="QuoteChar"/>
    <w:uiPriority w:val="29"/>
    <w:qFormat/>
    <w:rsid w:val="00DD408A"/>
    <w:rPr>
      <w:i/>
      <w:iCs/>
      <w:color w:val="000000"/>
    </w:rPr>
  </w:style>
  <w:style w:type="character" w:customStyle="1" w:styleId="QuoteChar">
    <w:name w:val="Quote Char"/>
    <w:link w:val="Quote"/>
    <w:uiPriority w:val="29"/>
    <w:rsid w:val="00DD408A"/>
    <w:rPr>
      <w:rFonts w:ascii="Times New Roman" w:eastAsia="Times New Roman" w:hAnsi="Times New Roman" w:cs="Times New Roman"/>
      <w:i/>
      <w:iCs/>
      <w:color w:val="000000"/>
      <w:sz w:val="20"/>
      <w:szCs w:val="20"/>
      <w:lang w:val="en-US"/>
    </w:rPr>
  </w:style>
  <w:style w:type="paragraph" w:customStyle="1" w:styleId="SmallGap">
    <w:name w:val="Small Gap"/>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DD408A"/>
    <w:pPr>
      <w:pBdr>
        <w:bottom w:val="single" w:sz="6" w:space="1" w:color="auto"/>
      </w:pBdr>
    </w:pPr>
    <w:rPr>
      <w:sz w:val="14"/>
      <w:szCs w:val="14"/>
    </w:rPr>
  </w:style>
  <w:style w:type="character" w:customStyle="1" w:styleId="st1">
    <w:name w:val="st1"/>
    <w:rsid w:val="00DD408A"/>
  </w:style>
  <w:style w:type="character" w:customStyle="1" w:styleId="Strikethrou">
    <w:name w:val="Strikethrou"/>
    <w:uiPriority w:val="99"/>
    <w:rsid w:val="00DD408A"/>
    <w:rPr>
      <w:rFonts w:ascii="Arial" w:hAnsi="Arial" w:cs="Arial"/>
      <w:color w:val="auto"/>
      <w:sz w:val="16"/>
      <w:szCs w:val="16"/>
      <w:vertAlign w:val="superscript"/>
    </w:rPr>
  </w:style>
  <w:style w:type="character" w:customStyle="1" w:styleId="StrikeThrough">
    <w:name w:val="StrikeThrough"/>
    <w:rsid w:val="00DD408A"/>
    <w:rPr>
      <w:strike/>
      <w:dstrike w:val="0"/>
      <w:color w:val="00A1DE"/>
    </w:rPr>
  </w:style>
  <w:style w:type="character" w:styleId="Strong">
    <w:name w:val="Strong"/>
    <w:qFormat/>
    <w:rsid w:val="00DD408A"/>
    <w:rPr>
      <w:b/>
      <w:bCs/>
    </w:rPr>
  </w:style>
  <w:style w:type="paragraph" w:customStyle="1" w:styleId="Style211HeadingBold">
    <w:name w:val="Style 2.1.1 Heading + Bold"/>
    <w:basedOn w:val="Normal"/>
    <w:rsid w:val="00DD408A"/>
    <w:rPr>
      <w:b/>
      <w:bCs/>
      <w:i/>
      <w:iCs/>
    </w:rPr>
  </w:style>
  <w:style w:type="paragraph" w:customStyle="1" w:styleId="StyleChapterHeadingAfter12pt">
    <w:name w:val="Style Chapter Heading + After:  12 pt"/>
    <w:basedOn w:val="Normal"/>
    <w:rsid w:val="00DD408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StyleChapterHeadingLucidaSans19ptNotBoldNotAllcaps">
    <w:name w:val="Style Chapter Heading + Lucida Sans 19 pt Not Bold Not All caps..."/>
    <w:basedOn w:val="Normal"/>
    <w:rsid w:val="00DD408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numbering" w:customStyle="1" w:styleId="Style1">
    <w:name w:val="Style1"/>
    <w:uiPriority w:val="99"/>
    <w:rsid w:val="00DD408A"/>
    <w:pPr>
      <w:numPr>
        <w:numId w:val="24"/>
      </w:numPr>
    </w:pPr>
  </w:style>
  <w:style w:type="paragraph" w:styleId="Subtitle">
    <w:name w:val="Subtitle"/>
    <w:basedOn w:val="Normal"/>
    <w:link w:val="SubtitleChar"/>
    <w:qFormat/>
    <w:rsid w:val="00DD408A"/>
    <w:pPr>
      <w:spacing w:after="60"/>
      <w:jc w:val="center"/>
      <w:outlineLvl w:val="1"/>
    </w:pPr>
    <w:rPr>
      <w:rFonts w:ascii="Arial" w:hAnsi="Arial"/>
      <w:sz w:val="24"/>
    </w:rPr>
  </w:style>
  <w:style w:type="character" w:customStyle="1" w:styleId="SubtitleChar">
    <w:name w:val="Subtitle Char"/>
    <w:link w:val="Subtitle"/>
    <w:rsid w:val="00DD408A"/>
    <w:rPr>
      <w:rFonts w:ascii="Arial" w:eastAsia="Times New Roman" w:hAnsi="Arial" w:cs="Times New Roman"/>
      <w:sz w:val="24"/>
      <w:szCs w:val="20"/>
      <w:lang w:val="en-US"/>
    </w:rPr>
  </w:style>
  <w:style w:type="character" w:styleId="SubtleEmphasis">
    <w:name w:val="Subtle Emphasis"/>
    <w:uiPriority w:val="19"/>
    <w:qFormat/>
    <w:rsid w:val="00DD408A"/>
    <w:rPr>
      <w:i/>
      <w:iCs/>
      <w:color w:val="808080"/>
    </w:rPr>
  </w:style>
  <w:style w:type="character" w:styleId="SubtleReference">
    <w:name w:val="Subtle Reference"/>
    <w:uiPriority w:val="31"/>
    <w:qFormat/>
    <w:rsid w:val="00DD408A"/>
    <w:rPr>
      <w:smallCaps/>
      <w:color w:val="C0504D"/>
      <w:u w:val="single"/>
    </w:rPr>
  </w:style>
  <w:style w:type="paragraph" w:customStyle="1" w:styleId="Table2X">
    <w:name w:val="Table 2.X"/>
    <w:basedOn w:val="TableEX"/>
    <w:qFormat/>
    <w:rsid w:val="00DD408A"/>
    <w:pPr>
      <w:numPr>
        <w:numId w:val="25"/>
      </w:numPr>
    </w:pPr>
  </w:style>
  <w:style w:type="paragraph" w:customStyle="1" w:styleId="Table3x">
    <w:name w:val="Table 3.x"/>
    <w:basedOn w:val="TableEX"/>
    <w:qFormat/>
    <w:rsid w:val="00DD408A"/>
    <w:pPr>
      <w:numPr>
        <w:numId w:val="26"/>
      </w:numPr>
    </w:pPr>
  </w:style>
  <w:style w:type="paragraph" w:customStyle="1" w:styleId="Table5">
    <w:name w:val="Table 5"/>
    <w:basedOn w:val="TableEX"/>
    <w:qFormat/>
    <w:rsid w:val="00DD408A"/>
    <w:pPr>
      <w:numPr>
        <w:numId w:val="27"/>
      </w:numPr>
      <w:tabs>
        <w:tab w:val="left" w:pos="1418"/>
      </w:tabs>
    </w:pPr>
  </w:style>
  <w:style w:type="paragraph" w:customStyle="1" w:styleId="Table5x">
    <w:name w:val="Table 5.x"/>
    <w:basedOn w:val="Normal"/>
    <w:qFormat/>
    <w:rsid w:val="00DD408A"/>
    <w:pPr>
      <w:widowControl w:val="0"/>
      <w:spacing w:before="320" w:after="120"/>
    </w:pPr>
    <w:rPr>
      <w:rFonts w:ascii="Arial Unicode MS" w:eastAsia="Arial Unicode MS" w:hAnsi="Arial Unicode MS"/>
      <w:bCs/>
      <w:color w:val="00A1DE"/>
      <w:kern w:val="28"/>
      <w:sz w:val="22"/>
      <w:szCs w:val="22"/>
    </w:rPr>
  </w:style>
  <w:style w:type="paragraph" w:customStyle="1" w:styleId="Table5X0">
    <w:name w:val="Table 5.X"/>
    <w:basedOn w:val="Normal"/>
    <w:rsid w:val="00DD408A"/>
    <w:pPr>
      <w:widowControl w:val="0"/>
      <w:tabs>
        <w:tab w:val="left" w:pos="1232"/>
      </w:tabs>
      <w:spacing w:before="360" w:after="120"/>
      <w:ind w:left="1627" w:hanging="360"/>
    </w:pPr>
    <w:rPr>
      <w:rFonts w:ascii="Lucida Sans" w:hAnsi="Lucida Sans"/>
      <w:bCs/>
      <w:kern w:val="28"/>
      <w:sz w:val="22"/>
      <w:szCs w:val="22"/>
    </w:rPr>
  </w:style>
  <w:style w:type="paragraph" w:customStyle="1" w:styleId="Table6X">
    <w:name w:val="Table 6.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Table6x0">
    <w:name w:val="Table 6.x"/>
    <w:basedOn w:val="TableEX"/>
    <w:qFormat/>
    <w:rsid w:val="00DD408A"/>
    <w:pPr>
      <w:numPr>
        <w:numId w:val="0"/>
      </w:numPr>
    </w:pPr>
  </w:style>
  <w:style w:type="paragraph" w:customStyle="1" w:styleId="TableB2X">
    <w:name w:val="Table B2.X"/>
    <w:basedOn w:val="TableHeading"/>
    <w:rsid w:val="00DD408A"/>
    <w:pPr>
      <w:keepNext w:val="0"/>
      <w:keepLines w:val="0"/>
      <w:widowControl w:val="0"/>
      <w:numPr>
        <w:numId w:val="28"/>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DD408A"/>
    <w:pPr>
      <w:spacing w:before="60" w:after="60"/>
      <w:ind w:left="284"/>
    </w:pPr>
    <w:rPr>
      <w:rFonts w:ascii="Arial" w:hAnsi="Arial"/>
      <w:i/>
      <w:sz w:val="14"/>
    </w:rPr>
  </w:style>
  <w:style w:type="character" w:customStyle="1" w:styleId="TableFootnoteChar">
    <w:name w:val="Table Footnote Char"/>
    <w:link w:val="TableFootnote"/>
    <w:rsid w:val="00DD408A"/>
    <w:rPr>
      <w:rFonts w:ascii="Arial" w:eastAsia="Times New Roman" w:hAnsi="Arial" w:cs="Times New Roman"/>
      <w:i/>
      <w:sz w:val="14"/>
      <w:szCs w:val="20"/>
      <w:lang w:val="en-US"/>
    </w:rPr>
  </w:style>
  <w:style w:type="table" w:styleId="TableGrid">
    <w:name w:val="Table Grid"/>
    <w:basedOn w:val="TableNormal"/>
    <w:uiPriority w:val="39"/>
    <w:rsid w:val="00DD4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DD408A"/>
    <w:pPr>
      <w:numPr>
        <w:numId w:val="0"/>
      </w:numPr>
      <w:tabs>
        <w:tab w:val="left" w:pos="1418"/>
      </w:tabs>
    </w:pPr>
  </w:style>
  <w:style w:type="paragraph" w:customStyle="1" w:styleId="TableStubParagraph">
    <w:name w:val="Table Stub Paragraph"/>
    <w:basedOn w:val="Normal"/>
    <w:rsid w:val="00DD408A"/>
    <w:pPr>
      <w:spacing w:before="120" w:after="120"/>
    </w:pPr>
    <w:rPr>
      <w:rFonts w:ascii="Arial" w:hAnsi="Arial" w:cs="Arial"/>
      <w:sz w:val="18"/>
      <w:szCs w:val="18"/>
    </w:rPr>
  </w:style>
  <w:style w:type="paragraph" w:customStyle="1" w:styleId="Tablex">
    <w:name w:val="Table x"/>
    <w:basedOn w:val="Table2X"/>
    <w:qFormat/>
    <w:rsid w:val="00DD408A"/>
    <w:pPr>
      <w:keepNext/>
      <w:keepLines/>
      <w:numPr>
        <w:numId w:val="29"/>
      </w:numPr>
    </w:pPr>
  </w:style>
  <w:style w:type="paragraph" w:customStyle="1" w:styleId="TestRightAlign">
    <w:name w:val="Test Right Align"/>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DD408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styleId="Title">
    <w:name w:val="Title"/>
    <w:basedOn w:val="Normal"/>
    <w:link w:val="TitleChar"/>
    <w:qFormat/>
    <w:rsid w:val="00DD408A"/>
    <w:pPr>
      <w:spacing w:before="240" w:after="60"/>
      <w:jc w:val="center"/>
      <w:outlineLvl w:val="0"/>
    </w:pPr>
    <w:rPr>
      <w:rFonts w:ascii="Arial" w:hAnsi="Arial"/>
      <w:b/>
      <w:kern w:val="28"/>
      <w:sz w:val="32"/>
    </w:rPr>
  </w:style>
  <w:style w:type="character" w:customStyle="1" w:styleId="TitleChar">
    <w:name w:val="Title Char"/>
    <w:link w:val="Title"/>
    <w:rsid w:val="00DD408A"/>
    <w:rPr>
      <w:rFonts w:ascii="Arial" w:eastAsia="Times New Roman" w:hAnsi="Arial" w:cs="Times New Roman"/>
      <w:b/>
      <w:kern w:val="28"/>
      <w:sz w:val="32"/>
      <w:szCs w:val="20"/>
      <w:lang w:val="en-US"/>
    </w:rPr>
  </w:style>
  <w:style w:type="paragraph" w:customStyle="1" w:styleId="TitleinGreyBox">
    <w:name w:val="Title in Grey Box"/>
    <w:basedOn w:val="Normal"/>
    <w:qFormat/>
    <w:rsid w:val="00DD408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paragraph" w:customStyle="1" w:styleId="Title-Total">
    <w:name w:val="Title-Total"/>
    <w:basedOn w:val="Normal"/>
    <w:autoRedefine/>
    <w:rsid w:val="00DD408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styleId="TOC1">
    <w:name w:val="toc 1"/>
    <w:basedOn w:val="Normal"/>
    <w:next w:val="Normal"/>
    <w:autoRedefine/>
    <w:uiPriority w:val="39"/>
    <w:rsid w:val="00DD408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DD408A"/>
    <w:pPr>
      <w:widowControl w:val="0"/>
      <w:tabs>
        <w:tab w:val="left" w:leader="dot" w:pos="8539"/>
        <w:tab w:val="right" w:pos="9475"/>
      </w:tabs>
      <w:spacing w:after="120"/>
      <w:ind w:left="1123" w:right="567" w:hanging="550"/>
    </w:pPr>
    <w:rPr>
      <w:rFonts w:ascii="Lucida Sans" w:hAnsi="Lucida Sans"/>
      <w:noProof/>
      <w:color w:val="000000"/>
    </w:rPr>
  </w:style>
  <w:style w:type="paragraph" w:styleId="TOCHeading">
    <w:name w:val="TOC Heading"/>
    <w:basedOn w:val="Heading1"/>
    <w:next w:val="Normal"/>
    <w:uiPriority w:val="39"/>
    <w:semiHidden/>
    <w:unhideWhenUsed/>
    <w:qFormat/>
    <w:rsid w:val="00DD408A"/>
    <w:pPr>
      <w:keepLines/>
      <w:spacing w:before="480" w:after="0"/>
      <w:outlineLvl w:val="9"/>
    </w:pPr>
    <w:rPr>
      <w:rFonts w:ascii="Cambria" w:hAnsi="Cambria"/>
      <w:b/>
      <w:bCs/>
      <w:color w:val="365F91"/>
      <w:kern w:val="0"/>
      <w:szCs w:val="28"/>
      <w:lang w:val="en-US"/>
    </w:rPr>
  </w:style>
  <w:style w:type="paragraph" w:customStyle="1" w:styleId="TotalsLine">
    <w:name w:val="Totals Line"/>
    <w:basedOn w:val="Normal"/>
    <w:autoRedefine/>
    <w:uiPriority w:val="99"/>
    <w:rsid w:val="00DD408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DD408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DD408A"/>
    <w:rPr>
      <w:u w:val="single"/>
    </w:rPr>
  </w:style>
  <w:style w:type="paragraph" w:styleId="Revision">
    <w:name w:val="Revision"/>
    <w:hidden/>
    <w:uiPriority w:val="99"/>
    <w:semiHidden/>
    <w:rsid w:val="00937D77"/>
    <w:pPr>
      <w:spacing w:after="0" w:line="240" w:lineRule="auto"/>
    </w:pPr>
    <w:rPr>
      <w:rFonts w:ascii="Times New Roman" w:eastAsia="Times New Roman" w:hAnsi="Times New Roman" w:cs="Times New Roman"/>
      <w:sz w:val="20"/>
      <w:szCs w:val="20"/>
      <w:lang w:val="en-US"/>
    </w:rPr>
  </w:style>
  <w:style w:type="paragraph" w:customStyle="1" w:styleId="xmsonormal">
    <w:name w:val="x_msonormal"/>
    <w:basedOn w:val="Normal"/>
    <w:rsid w:val="00E820CB"/>
    <w:rPr>
      <w:rFonts w:ascii="Calibri" w:eastAsiaTheme="minorHAnsi" w:hAnsi="Calibri" w:cs="Calibri"/>
      <w:sz w:val="22"/>
      <w:szCs w:val="22"/>
      <w:lang w:val="en-AU" w:eastAsia="en-AU"/>
    </w:rPr>
  </w:style>
  <w:style w:type="paragraph" w:customStyle="1" w:styleId="xmsobodytext">
    <w:name w:val="x_msobodytext"/>
    <w:basedOn w:val="Normal"/>
    <w:rsid w:val="00E820CB"/>
    <w:rPr>
      <w:rFonts w:ascii="Calibri" w:eastAsiaTheme="minorHAnsi" w:hAnsi="Calibri" w:cs="Calibri"/>
      <w:sz w:val="22"/>
      <w:szCs w:val="22"/>
      <w:lang w:val="en-AU" w:eastAsia="en-AU"/>
    </w:rPr>
  </w:style>
  <w:style w:type="character" w:customStyle="1" w:styleId="xmsofootnotereference">
    <w:name w:val="x_msofootnotereference"/>
    <w:basedOn w:val="DefaultParagraphFont"/>
    <w:rsid w:val="00E820CB"/>
  </w:style>
  <w:style w:type="character" w:customStyle="1" w:styleId="frag-no">
    <w:name w:val="frag-no"/>
    <w:basedOn w:val="DefaultParagraphFont"/>
    <w:rsid w:val="00B56E37"/>
  </w:style>
  <w:style w:type="character" w:styleId="UnresolvedMention">
    <w:name w:val="Unresolved Mention"/>
    <w:basedOn w:val="DefaultParagraphFont"/>
    <w:uiPriority w:val="99"/>
    <w:rsid w:val="007D0BE7"/>
    <w:rPr>
      <w:color w:val="605E5C"/>
      <w:shd w:val="clear" w:color="auto" w:fill="E1DFDD"/>
    </w:rPr>
  </w:style>
  <w:style w:type="character" w:styleId="Mention">
    <w:name w:val="Mention"/>
    <w:basedOn w:val="DefaultParagraphFont"/>
    <w:uiPriority w:val="99"/>
    <w:unhideWhenUsed/>
    <w:rsid w:val="007D0BE7"/>
    <w:rPr>
      <w:color w:val="2B579A"/>
      <w:shd w:val="clear" w:color="auto" w:fill="E1DFDD"/>
    </w:rPr>
  </w:style>
  <w:style w:type="character" w:customStyle="1" w:styleId="normaltextrun">
    <w:name w:val="normaltextrun"/>
    <w:basedOn w:val="DefaultParagraphFont"/>
    <w:rsid w:val="005B0A1A"/>
  </w:style>
  <w:style w:type="character" w:customStyle="1" w:styleId="eop">
    <w:name w:val="eop"/>
    <w:basedOn w:val="DefaultParagraphFont"/>
    <w:rsid w:val="00FD33AE"/>
  </w:style>
  <w:style w:type="paragraph" w:customStyle="1" w:styleId="paragraph">
    <w:name w:val="paragraph"/>
    <w:basedOn w:val="Normal"/>
    <w:rsid w:val="002C4426"/>
    <w:pPr>
      <w:spacing w:before="100" w:beforeAutospacing="1" w:after="100" w:afterAutospacing="1"/>
    </w:pPr>
    <w:rPr>
      <w:rFonts w:ascii="Calibri" w:eastAsiaTheme="minorHAnsi" w:hAnsi="Calibri" w:cs="Calibri"/>
      <w:sz w:val="22"/>
      <w:szCs w:val="22"/>
      <w:lang w:val="en-AU" w:eastAsia="en-AU"/>
    </w:rPr>
  </w:style>
  <w:style w:type="paragraph" w:customStyle="1" w:styleId="TOC31">
    <w:name w:val="TOC 31"/>
    <w:basedOn w:val="Normal"/>
    <w:rsid w:val="002C4426"/>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8369">
      <w:bodyDiv w:val="1"/>
      <w:marLeft w:val="0"/>
      <w:marRight w:val="0"/>
      <w:marTop w:val="0"/>
      <w:marBottom w:val="0"/>
      <w:divBdr>
        <w:top w:val="none" w:sz="0" w:space="0" w:color="auto"/>
        <w:left w:val="none" w:sz="0" w:space="0" w:color="auto"/>
        <w:bottom w:val="none" w:sz="0" w:space="0" w:color="auto"/>
        <w:right w:val="none" w:sz="0" w:space="0" w:color="auto"/>
      </w:divBdr>
      <w:divsChild>
        <w:div w:id="397826618">
          <w:marLeft w:val="0"/>
          <w:marRight w:val="0"/>
          <w:marTop w:val="0"/>
          <w:marBottom w:val="0"/>
          <w:divBdr>
            <w:top w:val="none" w:sz="0" w:space="0" w:color="auto"/>
            <w:left w:val="none" w:sz="0" w:space="0" w:color="auto"/>
            <w:bottom w:val="none" w:sz="0" w:space="0" w:color="auto"/>
            <w:right w:val="none" w:sz="0" w:space="0" w:color="auto"/>
          </w:divBdr>
          <w:divsChild>
            <w:div w:id="134940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307278">
          <w:marLeft w:val="0"/>
          <w:marRight w:val="0"/>
          <w:marTop w:val="0"/>
          <w:marBottom w:val="0"/>
          <w:divBdr>
            <w:top w:val="none" w:sz="0" w:space="0" w:color="auto"/>
            <w:left w:val="none" w:sz="0" w:space="0" w:color="auto"/>
            <w:bottom w:val="none" w:sz="0" w:space="0" w:color="auto"/>
            <w:right w:val="none" w:sz="0" w:space="0" w:color="auto"/>
          </w:divBdr>
          <w:divsChild>
            <w:div w:id="1309169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8226829">
          <w:marLeft w:val="0"/>
          <w:marRight w:val="0"/>
          <w:marTop w:val="0"/>
          <w:marBottom w:val="0"/>
          <w:divBdr>
            <w:top w:val="none" w:sz="0" w:space="0" w:color="auto"/>
            <w:left w:val="none" w:sz="0" w:space="0" w:color="auto"/>
            <w:bottom w:val="none" w:sz="0" w:space="0" w:color="auto"/>
            <w:right w:val="none" w:sz="0" w:space="0" w:color="auto"/>
          </w:divBdr>
          <w:divsChild>
            <w:div w:id="380986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796469">
          <w:marLeft w:val="0"/>
          <w:marRight w:val="0"/>
          <w:marTop w:val="0"/>
          <w:marBottom w:val="0"/>
          <w:divBdr>
            <w:top w:val="none" w:sz="0" w:space="0" w:color="auto"/>
            <w:left w:val="none" w:sz="0" w:space="0" w:color="auto"/>
            <w:bottom w:val="none" w:sz="0" w:space="0" w:color="auto"/>
            <w:right w:val="none" w:sz="0" w:space="0" w:color="auto"/>
          </w:divBdr>
          <w:divsChild>
            <w:div w:id="1199662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61257107">
      <w:bodyDiv w:val="1"/>
      <w:marLeft w:val="0"/>
      <w:marRight w:val="0"/>
      <w:marTop w:val="0"/>
      <w:marBottom w:val="0"/>
      <w:divBdr>
        <w:top w:val="none" w:sz="0" w:space="0" w:color="auto"/>
        <w:left w:val="none" w:sz="0" w:space="0" w:color="auto"/>
        <w:bottom w:val="none" w:sz="0" w:space="0" w:color="auto"/>
        <w:right w:val="none" w:sz="0" w:space="0" w:color="auto"/>
      </w:divBdr>
    </w:div>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358161133">
      <w:bodyDiv w:val="1"/>
      <w:marLeft w:val="0"/>
      <w:marRight w:val="0"/>
      <w:marTop w:val="0"/>
      <w:marBottom w:val="0"/>
      <w:divBdr>
        <w:top w:val="none" w:sz="0" w:space="0" w:color="auto"/>
        <w:left w:val="none" w:sz="0" w:space="0" w:color="auto"/>
        <w:bottom w:val="none" w:sz="0" w:space="0" w:color="auto"/>
        <w:right w:val="none" w:sz="0" w:space="0" w:color="auto"/>
      </w:divBdr>
    </w:div>
    <w:div w:id="378096914">
      <w:bodyDiv w:val="1"/>
      <w:marLeft w:val="0"/>
      <w:marRight w:val="0"/>
      <w:marTop w:val="0"/>
      <w:marBottom w:val="0"/>
      <w:divBdr>
        <w:top w:val="none" w:sz="0" w:space="0" w:color="auto"/>
        <w:left w:val="none" w:sz="0" w:space="0" w:color="auto"/>
        <w:bottom w:val="none" w:sz="0" w:space="0" w:color="auto"/>
        <w:right w:val="none" w:sz="0" w:space="0" w:color="auto"/>
      </w:divBdr>
    </w:div>
    <w:div w:id="502857806">
      <w:bodyDiv w:val="1"/>
      <w:marLeft w:val="0"/>
      <w:marRight w:val="0"/>
      <w:marTop w:val="0"/>
      <w:marBottom w:val="0"/>
      <w:divBdr>
        <w:top w:val="none" w:sz="0" w:space="0" w:color="auto"/>
        <w:left w:val="none" w:sz="0" w:space="0" w:color="auto"/>
        <w:bottom w:val="none" w:sz="0" w:space="0" w:color="auto"/>
        <w:right w:val="none" w:sz="0" w:space="0" w:color="auto"/>
      </w:divBdr>
    </w:div>
    <w:div w:id="543912623">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70915453">
      <w:bodyDiv w:val="1"/>
      <w:marLeft w:val="0"/>
      <w:marRight w:val="0"/>
      <w:marTop w:val="0"/>
      <w:marBottom w:val="0"/>
      <w:divBdr>
        <w:top w:val="none" w:sz="0" w:space="0" w:color="auto"/>
        <w:left w:val="none" w:sz="0" w:space="0" w:color="auto"/>
        <w:bottom w:val="none" w:sz="0" w:space="0" w:color="auto"/>
        <w:right w:val="none" w:sz="0" w:space="0" w:color="auto"/>
      </w:divBdr>
    </w:div>
    <w:div w:id="688797632">
      <w:bodyDiv w:val="1"/>
      <w:marLeft w:val="0"/>
      <w:marRight w:val="0"/>
      <w:marTop w:val="0"/>
      <w:marBottom w:val="0"/>
      <w:divBdr>
        <w:top w:val="none" w:sz="0" w:space="0" w:color="auto"/>
        <w:left w:val="none" w:sz="0" w:space="0" w:color="auto"/>
        <w:bottom w:val="none" w:sz="0" w:space="0" w:color="auto"/>
        <w:right w:val="none" w:sz="0" w:space="0" w:color="auto"/>
      </w:divBdr>
      <w:divsChild>
        <w:div w:id="59139620">
          <w:marLeft w:val="0"/>
          <w:marRight w:val="0"/>
          <w:marTop w:val="0"/>
          <w:marBottom w:val="0"/>
          <w:divBdr>
            <w:top w:val="none" w:sz="0" w:space="0" w:color="auto"/>
            <w:left w:val="none" w:sz="0" w:space="0" w:color="auto"/>
            <w:bottom w:val="none" w:sz="0" w:space="0" w:color="auto"/>
            <w:right w:val="none" w:sz="0" w:space="0" w:color="auto"/>
          </w:divBdr>
          <w:divsChild>
            <w:div w:id="328557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3769820">
          <w:marLeft w:val="0"/>
          <w:marRight w:val="0"/>
          <w:marTop w:val="0"/>
          <w:marBottom w:val="0"/>
          <w:divBdr>
            <w:top w:val="none" w:sz="0" w:space="0" w:color="auto"/>
            <w:left w:val="none" w:sz="0" w:space="0" w:color="auto"/>
            <w:bottom w:val="none" w:sz="0" w:space="0" w:color="auto"/>
            <w:right w:val="none" w:sz="0" w:space="0" w:color="auto"/>
          </w:divBdr>
          <w:divsChild>
            <w:div w:id="1986352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8186404">
      <w:bodyDiv w:val="1"/>
      <w:marLeft w:val="0"/>
      <w:marRight w:val="0"/>
      <w:marTop w:val="0"/>
      <w:marBottom w:val="0"/>
      <w:divBdr>
        <w:top w:val="none" w:sz="0" w:space="0" w:color="auto"/>
        <w:left w:val="none" w:sz="0" w:space="0" w:color="auto"/>
        <w:bottom w:val="none" w:sz="0" w:space="0" w:color="auto"/>
        <w:right w:val="none" w:sz="0" w:space="0" w:color="auto"/>
      </w:divBdr>
    </w:div>
    <w:div w:id="814831907">
      <w:bodyDiv w:val="1"/>
      <w:marLeft w:val="0"/>
      <w:marRight w:val="0"/>
      <w:marTop w:val="0"/>
      <w:marBottom w:val="0"/>
      <w:divBdr>
        <w:top w:val="none" w:sz="0" w:space="0" w:color="auto"/>
        <w:left w:val="none" w:sz="0" w:space="0" w:color="auto"/>
        <w:bottom w:val="none" w:sz="0" w:space="0" w:color="auto"/>
        <w:right w:val="none" w:sz="0" w:space="0" w:color="auto"/>
      </w:divBdr>
    </w:div>
    <w:div w:id="836388389">
      <w:bodyDiv w:val="1"/>
      <w:marLeft w:val="0"/>
      <w:marRight w:val="0"/>
      <w:marTop w:val="0"/>
      <w:marBottom w:val="0"/>
      <w:divBdr>
        <w:top w:val="none" w:sz="0" w:space="0" w:color="auto"/>
        <w:left w:val="none" w:sz="0" w:space="0" w:color="auto"/>
        <w:bottom w:val="none" w:sz="0" w:space="0" w:color="auto"/>
        <w:right w:val="none" w:sz="0" w:space="0" w:color="auto"/>
      </w:divBdr>
    </w:div>
    <w:div w:id="849221736">
      <w:bodyDiv w:val="1"/>
      <w:marLeft w:val="0"/>
      <w:marRight w:val="0"/>
      <w:marTop w:val="0"/>
      <w:marBottom w:val="0"/>
      <w:divBdr>
        <w:top w:val="none" w:sz="0" w:space="0" w:color="auto"/>
        <w:left w:val="none" w:sz="0" w:space="0" w:color="auto"/>
        <w:bottom w:val="none" w:sz="0" w:space="0" w:color="auto"/>
        <w:right w:val="none" w:sz="0" w:space="0" w:color="auto"/>
      </w:divBdr>
    </w:div>
    <w:div w:id="871259741">
      <w:bodyDiv w:val="1"/>
      <w:marLeft w:val="0"/>
      <w:marRight w:val="0"/>
      <w:marTop w:val="0"/>
      <w:marBottom w:val="0"/>
      <w:divBdr>
        <w:top w:val="none" w:sz="0" w:space="0" w:color="auto"/>
        <w:left w:val="none" w:sz="0" w:space="0" w:color="auto"/>
        <w:bottom w:val="none" w:sz="0" w:space="0" w:color="auto"/>
        <w:right w:val="none" w:sz="0" w:space="0" w:color="auto"/>
      </w:divBdr>
    </w:div>
    <w:div w:id="886792571">
      <w:bodyDiv w:val="1"/>
      <w:marLeft w:val="0"/>
      <w:marRight w:val="0"/>
      <w:marTop w:val="0"/>
      <w:marBottom w:val="0"/>
      <w:divBdr>
        <w:top w:val="none" w:sz="0" w:space="0" w:color="auto"/>
        <w:left w:val="none" w:sz="0" w:space="0" w:color="auto"/>
        <w:bottom w:val="none" w:sz="0" w:space="0" w:color="auto"/>
        <w:right w:val="none" w:sz="0" w:space="0" w:color="auto"/>
      </w:divBdr>
    </w:div>
    <w:div w:id="1039477147">
      <w:bodyDiv w:val="1"/>
      <w:marLeft w:val="0"/>
      <w:marRight w:val="0"/>
      <w:marTop w:val="0"/>
      <w:marBottom w:val="0"/>
      <w:divBdr>
        <w:top w:val="none" w:sz="0" w:space="0" w:color="auto"/>
        <w:left w:val="none" w:sz="0" w:space="0" w:color="auto"/>
        <w:bottom w:val="none" w:sz="0" w:space="0" w:color="auto"/>
        <w:right w:val="none" w:sz="0" w:space="0" w:color="auto"/>
      </w:divBdr>
    </w:div>
    <w:div w:id="1060447097">
      <w:bodyDiv w:val="1"/>
      <w:marLeft w:val="0"/>
      <w:marRight w:val="0"/>
      <w:marTop w:val="0"/>
      <w:marBottom w:val="0"/>
      <w:divBdr>
        <w:top w:val="none" w:sz="0" w:space="0" w:color="auto"/>
        <w:left w:val="none" w:sz="0" w:space="0" w:color="auto"/>
        <w:bottom w:val="none" w:sz="0" w:space="0" w:color="auto"/>
        <w:right w:val="none" w:sz="0" w:space="0" w:color="auto"/>
      </w:divBdr>
      <w:divsChild>
        <w:div w:id="620377824">
          <w:marLeft w:val="0"/>
          <w:marRight w:val="0"/>
          <w:marTop w:val="0"/>
          <w:marBottom w:val="0"/>
          <w:divBdr>
            <w:top w:val="none" w:sz="0" w:space="0" w:color="auto"/>
            <w:left w:val="none" w:sz="0" w:space="0" w:color="auto"/>
            <w:bottom w:val="none" w:sz="0" w:space="0" w:color="auto"/>
            <w:right w:val="none" w:sz="0" w:space="0" w:color="auto"/>
          </w:divBdr>
          <w:divsChild>
            <w:div w:id="1477800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12877">
          <w:marLeft w:val="0"/>
          <w:marRight w:val="0"/>
          <w:marTop w:val="0"/>
          <w:marBottom w:val="0"/>
          <w:divBdr>
            <w:top w:val="none" w:sz="0" w:space="0" w:color="auto"/>
            <w:left w:val="none" w:sz="0" w:space="0" w:color="auto"/>
            <w:bottom w:val="none" w:sz="0" w:space="0" w:color="auto"/>
            <w:right w:val="none" w:sz="0" w:space="0" w:color="auto"/>
          </w:divBdr>
          <w:divsChild>
            <w:div w:id="902787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6315941">
          <w:marLeft w:val="0"/>
          <w:marRight w:val="0"/>
          <w:marTop w:val="0"/>
          <w:marBottom w:val="0"/>
          <w:divBdr>
            <w:top w:val="none" w:sz="0" w:space="0" w:color="auto"/>
            <w:left w:val="none" w:sz="0" w:space="0" w:color="auto"/>
            <w:bottom w:val="none" w:sz="0" w:space="0" w:color="auto"/>
            <w:right w:val="none" w:sz="0" w:space="0" w:color="auto"/>
          </w:divBdr>
          <w:divsChild>
            <w:div w:id="2053725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2317676">
      <w:bodyDiv w:val="1"/>
      <w:marLeft w:val="0"/>
      <w:marRight w:val="0"/>
      <w:marTop w:val="0"/>
      <w:marBottom w:val="0"/>
      <w:divBdr>
        <w:top w:val="none" w:sz="0" w:space="0" w:color="auto"/>
        <w:left w:val="none" w:sz="0" w:space="0" w:color="auto"/>
        <w:bottom w:val="none" w:sz="0" w:space="0" w:color="auto"/>
        <w:right w:val="none" w:sz="0" w:space="0" w:color="auto"/>
      </w:divBdr>
    </w:div>
    <w:div w:id="1180696949">
      <w:bodyDiv w:val="1"/>
      <w:marLeft w:val="0"/>
      <w:marRight w:val="0"/>
      <w:marTop w:val="0"/>
      <w:marBottom w:val="0"/>
      <w:divBdr>
        <w:top w:val="none" w:sz="0" w:space="0" w:color="auto"/>
        <w:left w:val="none" w:sz="0" w:space="0" w:color="auto"/>
        <w:bottom w:val="none" w:sz="0" w:space="0" w:color="auto"/>
        <w:right w:val="none" w:sz="0" w:space="0" w:color="auto"/>
      </w:divBdr>
      <w:divsChild>
        <w:div w:id="236138191">
          <w:marLeft w:val="547"/>
          <w:marRight w:val="0"/>
          <w:marTop w:val="48"/>
          <w:marBottom w:val="50"/>
          <w:divBdr>
            <w:top w:val="none" w:sz="0" w:space="0" w:color="auto"/>
            <w:left w:val="none" w:sz="0" w:space="0" w:color="auto"/>
            <w:bottom w:val="none" w:sz="0" w:space="0" w:color="auto"/>
            <w:right w:val="none" w:sz="0" w:space="0" w:color="auto"/>
          </w:divBdr>
        </w:div>
      </w:divsChild>
    </w:div>
    <w:div w:id="1328702517">
      <w:bodyDiv w:val="1"/>
      <w:marLeft w:val="0"/>
      <w:marRight w:val="0"/>
      <w:marTop w:val="0"/>
      <w:marBottom w:val="0"/>
      <w:divBdr>
        <w:top w:val="none" w:sz="0" w:space="0" w:color="auto"/>
        <w:left w:val="none" w:sz="0" w:space="0" w:color="auto"/>
        <w:bottom w:val="none" w:sz="0" w:space="0" w:color="auto"/>
        <w:right w:val="none" w:sz="0" w:space="0" w:color="auto"/>
      </w:divBdr>
      <w:divsChild>
        <w:div w:id="1191993246">
          <w:marLeft w:val="0"/>
          <w:marRight w:val="0"/>
          <w:marTop w:val="0"/>
          <w:marBottom w:val="0"/>
          <w:divBdr>
            <w:top w:val="none" w:sz="0" w:space="0" w:color="auto"/>
            <w:left w:val="none" w:sz="0" w:space="0" w:color="auto"/>
            <w:bottom w:val="none" w:sz="0" w:space="0" w:color="auto"/>
            <w:right w:val="none" w:sz="0" w:space="0" w:color="auto"/>
          </w:divBdr>
          <w:divsChild>
            <w:div w:id="830289165">
              <w:marLeft w:val="0"/>
              <w:marRight w:val="0"/>
              <w:marTop w:val="0"/>
              <w:marBottom w:val="0"/>
              <w:divBdr>
                <w:top w:val="none" w:sz="0" w:space="0" w:color="auto"/>
                <w:left w:val="none" w:sz="0" w:space="0" w:color="auto"/>
                <w:bottom w:val="none" w:sz="0" w:space="0" w:color="auto"/>
                <w:right w:val="none" w:sz="0" w:space="0" w:color="auto"/>
              </w:divBdr>
              <w:divsChild>
                <w:div w:id="789468821">
                  <w:marLeft w:val="0"/>
                  <w:marRight w:val="0"/>
                  <w:marTop w:val="0"/>
                  <w:marBottom w:val="0"/>
                  <w:divBdr>
                    <w:top w:val="none" w:sz="0" w:space="0" w:color="auto"/>
                    <w:left w:val="none" w:sz="0" w:space="0" w:color="auto"/>
                    <w:bottom w:val="none" w:sz="0" w:space="0" w:color="auto"/>
                    <w:right w:val="none" w:sz="0" w:space="0" w:color="auto"/>
                  </w:divBdr>
                  <w:divsChild>
                    <w:div w:id="1457799647">
                      <w:marLeft w:val="0"/>
                      <w:marRight w:val="0"/>
                      <w:marTop w:val="0"/>
                      <w:marBottom w:val="0"/>
                      <w:divBdr>
                        <w:top w:val="none" w:sz="0" w:space="0" w:color="auto"/>
                        <w:left w:val="none" w:sz="0" w:space="0" w:color="auto"/>
                        <w:bottom w:val="none" w:sz="0" w:space="0" w:color="auto"/>
                        <w:right w:val="none" w:sz="0" w:space="0" w:color="auto"/>
                      </w:divBdr>
                      <w:divsChild>
                        <w:div w:id="1120611610">
                          <w:marLeft w:val="0"/>
                          <w:marRight w:val="0"/>
                          <w:marTop w:val="0"/>
                          <w:marBottom w:val="0"/>
                          <w:divBdr>
                            <w:top w:val="none" w:sz="0" w:space="0" w:color="auto"/>
                            <w:left w:val="none" w:sz="0" w:space="0" w:color="auto"/>
                            <w:bottom w:val="none" w:sz="0" w:space="0" w:color="auto"/>
                            <w:right w:val="none" w:sz="0" w:space="0" w:color="auto"/>
                          </w:divBdr>
                          <w:divsChild>
                            <w:div w:id="2099714779">
                              <w:marLeft w:val="0"/>
                              <w:marRight w:val="0"/>
                              <w:marTop w:val="0"/>
                              <w:marBottom w:val="0"/>
                              <w:divBdr>
                                <w:top w:val="none" w:sz="0" w:space="0" w:color="auto"/>
                                <w:left w:val="none" w:sz="0" w:space="0" w:color="auto"/>
                                <w:bottom w:val="none" w:sz="0" w:space="0" w:color="auto"/>
                                <w:right w:val="none" w:sz="0" w:space="0" w:color="auto"/>
                              </w:divBdr>
                              <w:divsChild>
                                <w:div w:id="2094737988">
                                  <w:marLeft w:val="0"/>
                                  <w:marRight w:val="0"/>
                                  <w:marTop w:val="0"/>
                                  <w:marBottom w:val="0"/>
                                  <w:divBdr>
                                    <w:top w:val="none" w:sz="0" w:space="0" w:color="auto"/>
                                    <w:left w:val="none" w:sz="0" w:space="0" w:color="auto"/>
                                    <w:bottom w:val="none" w:sz="0" w:space="0" w:color="auto"/>
                                    <w:right w:val="none" w:sz="0" w:space="0" w:color="auto"/>
                                  </w:divBdr>
                                  <w:divsChild>
                                    <w:div w:id="2006323758">
                                      <w:marLeft w:val="0"/>
                                      <w:marRight w:val="0"/>
                                      <w:marTop w:val="0"/>
                                      <w:marBottom w:val="0"/>
                                      <w:divBdr>
                                        <w:top w:val="none" w:sz="0" w:space="0" w:color="auto"/>
                                        <w:left w:val="none" w:sz="0" w:space="0" w:color="auto"/>
                                        <w:bottom w:val="none" w:sz="0" w:space="0" w:color="auto"/>
                                        <w:right w:val="none" w:sz="0" w:space="0" w:color="auto"/>
                                      </w:divBdr>
                                      <w:divsChild>
                                        <w:div w:id="473913974">
                                          <w:blockQuote w:val="1"/>
                                          <w:marLeft w:val="255"/>
                                          <w:marRight w:val="0"/>
                                          <w:marTop w:val="0"/>
                                          <w:marBottom w:val="150"/>
                                          <w:divBdr>
                                            <w:top w:val="none" w:sz="0" w:space="0" w:color="auto"/>
                                            <w:left w:val="none" w:sz="0" w:space="0" w:color="auto"/>
                                            <w:bottom w:val="none" w:sz="0" w:space="0" w:color="auto"/>
                                            <w:right w:val="none" w:sz="0" w:space="0" w:color="auto"/>
                                          </w:divBdr>
                                          <w:divsChild>
                                            <w:div w:id="692807514">
                                              <w:blockQuote w:val="1"/>
                                              <w:marLeft w:val="255"/>
                                              <w:marRight w:val="0"/>
                                              <w:marTop w:val="0"/>
                                              <w:marBottom w:val="150"/>
                                              <w:divBdr>
                                                <w:top w:val="none" w:sz="0" w:space="0" w:color="auto"/>
                                                <w:left w:val="none" w:sz="0" w:space="0" w:color="auto"/>
                                                <w:bottom w:val="none" w:sz="0" w:space="0" w:color="auto"/>
                                                <w:right w:val="none" w:sz="0" w:space="0" w:color="auto"/>
                                              </w:divBdr>
                                              <w:divsChild>
                                                <w:div w:id="445858495">
                                                  <w:marLeft w:val="0"/>
                                                  <w:marRight w:val="0"/>
                                                  <w:marTop w:val="0"/>
                                                  <w:marBottom w:val="0"/>
                                                  <w:divBdr>
                                                    <w:top w:val="none" w:sz="0" w:space="0" w:color="auto"/>
                                                    <w:left w:val="none" w:sz="0" w:space="0" w:color="auto"/>
                                                    <w:bottom w:val="none" w:sz="0" w:space="0" w:color="auto"/>
                                                    <w:right w:val="none" w:sz="0" w:space="0" w:color="auto"/>
                                                  </w:divBdr>
                                                  <w:divsChild>
                                                    <w:div w:id="989598829">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973751318">
                                                  <w:marLeft w:val="0"/>
                                                  <w:marRight w:val="0"/>
                                                  <w:marTop w:val="0"/>
                                                  <w:marBottom w:val="0"/>
                                                  <w:divBdr>
                                                    <w:top w:val="none" w:sz="0" w:space="0" w:color="auto"/>
                                                    <w:left w:val="none" w:sz="0" w:space="0" w:color="auto"/>
                                                    <w:bottom w:val="none" w:sz="0" w:space="0" w:color="auto"/>
                                                    <w:right w:val="none" w:sz="0" w:space="0" w:color="auto"/>
                                                  </w:divBdr>
                                                  <w:divsChild>
                                                    <w:div w:id="14429649">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966112635">
                                                  <w:marLeft w:val="0"/>
                                                  <w:marRight w:val="0"/>
                                                  <w:marTop w:val="0"/>
                                                  <w:marBottom w:val="0"/>
                                                  <w:divBdr>
                                                    <w:top w:val="none" w:sz="0" w:space="0" w:color="auto"/>
                                                    <w:left w:val="none" w:sz="0" w:space="0" w:color="auto"/>
                                                    <w:bottom w:val="none" w:sz="0" w:space="0" w:color="auto"/>
                                                    <w:right w:val="none" w:sz="0" w:space="0" w:color="auto"/>
                                                  </w:divBdr>
                                                  <w:divsChild>
                                                    <w:div w:id="1110853166">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2039381214">
                                                  <w:marLeft w:val="0"/>
                                                  <w:marRight w:val="0"/>
                                                  <w:marTop w:val="0"/>
                                                  <w:marBottom w:val="0"/>
                                                  <w:divBdr>
                                                    <w:top w:val="none" w:sz="0" w:space="0" w:color="auto"/>
                                                    <w:left w:val="none" w:sz="0" w:space="0" w:color="auto"/>
                                                    <w:bottom w:val="none" w:sz="0" w:space="0" w:color="auto"/>
                                                    <w:right w:val="none" w:sz="0" w:space="0" w:color="auto"/>
                                                  </w:divBdr>
                                                  <w:divsChild>
                                                    <w:div w:id="1152483320">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108685">
      <w:bodyDiv w:val="1"/>
      <w:marLeft w:val="0"/>
      <w:marRight w:val="0"/>
      <w:marTop w:val="0"/>
      <w:marBottom w:val="0"/>
      <w:divBdr>
        <w:top w:val="none" w:sz="0" w:space="0" w:color="auto"/>
        <w:left w:val="none" w:sz="0" w:space="0" w:color="auto"/>
        <w:bottom w:val="none" w:sz="0" w:space="0" w:color="auto"/>
        <w:right w:val="none" w:sz="0" w:space="0" w:color="auto"/>
      </w:divBdr>
    </w:div>
    <w:div w:id="1696888038">
      <w:bodyDiv w:val="1"/>
      <w:marLeft w:val="0"/>
      <w:marRight w:val="0"/>
      <w:marTop w:val="0"/>
      <w:marBottom w:val="0"/>
      <w:divBdr>
        <w:top w:val="none" w:sz="0" w:space="0" w:color="auto"/>
        <w:left w:val="none" w:sz="0" w:space="0" w:color="auto"/>
        <w:bottom w:val="none" w:sz="0" w:space="0" w:color="auto"/>
        <w:right w:val="none" w:sz="0" w:space="0" w:color="auto"/>
      </w:divBdr>
    </w:div>
    <w:div w:id="19328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nswgov.sharepoint.com/sites/TSY2019-20Budget/Shared%20Documents/General/2020-21%20Budget/03.%20Budget%20Paper%202%20(Budget%20Statement)/Appendix%20E%20-%20Performance%20and%20Reporting%20under%20the%20Fiscal%20Responsibility%20Act/Chart%20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swgov.sharepoint.com/sites/TSY2019-20Budget/Shared%20Documents/General/2020-21%20Budget/03.%20Budget%20Paper%202%20(Budget%20Statement)/Appendix%20E%20-%20Performance%20and%20Reporting%20under%20the%20Fiscal%20Responsibility%20Act/Appendix%20E%20-%20"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336002666610015E-2"/>
          <c:y val="6.5422868653046279E-2"/>
          <c:w val="0.89745119793207007"/>
          <c:h val="0.71888246527323618"/>
        </c:manualLayout>
      </c:layout>
      <c:lineChart>
        <c:grouping val="standard"/>
        <c:varyColors val="0"/>
        <c:ser>
          <c:idx val="0"/>
          <c:order val="0"/>
          <c:tx>
            <c:strRef>
              <c:f>'CE.1 Expense growth'!$D$14</c:f>
              <c:strCache>
                <c:ptCount val="1"/>
                <c:pt idx="0">
                  <c:v>Annual expense growth</c:v>
                </c:pt>
              </c:strCache>
            </c:strRef>
          </c:tx>
          <c:spPr>
            <a:ln w="28575">
              <a:solidFill>
                <a:srgbClr val="00426F"/>
              </a:solidFill>
            </a:ln>
          </c:spPr>
          <c:marker>
            <c:symbol val="none"/>
          </c:marker>
          <c:cat>
            <c:strRef>
              <c:f>'CE.1 Expense growth'!$S$9:$AF$9</c:f>
              <c:strCache>
                <c:ptCount val="14"/>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pt idx="12">
                  <c:v>2022-23</c:v>
                </c:pt>
                <c:pt idx="13">
                  <c:v>2023-24</c:v>
                </c:pt>
              </c:strCache>
            </c:strRef>
          </c:cat>
          <c:val>
            <c:numRef>
              <c:f>'CE.1 Expense growth'!$S$14:$AF$14</c:f>
              <c:numCache>
                <c:formatCode>#,##0.0</c:formatCode>
                <c:ptCount val="14"/>
                <c:pt idx="0">
                  <c:v>0.99569684832141458</c:v>
                </c:pt>
                <c:pt idx="1">
                  <c:v>4.5403855128910209</c:v>
                </c:pt>
                <c:pt idx="2">
                  <c:v>3.8385358864273078</c:v>
                </c:pt>
                <c:pt idx="3">
                  <c:v>4.630361631043356</c:v>
                </c:pt>
                <c:pt idx="4">
                  <c:v>3.0561335303171955</c:v>
                </c:pt>
                <c:pt idx="5">
                  <c:v>4.2940382820346512</c:v>
                </c:pt>
                <c:pt idx="6">
                  <c:v>4.2369472141605025</c:v>
                </c:pt>
                <c:pt idx="7">
                  <c:v>5.4313413512556696</c:v>
                </c:pt>
                <c:pt idx="8">
                  <c:v>5.2026208292983211</c:v>
                </c:pt>
                <c:pt idx="9">
                  <c:v>9.7074067833196942</c:v>
                </c:pt>
                <c:pt idx="10">
                  <c:v>11.157680463073326</c:v>
                </c:pt>
                <c:pt idx="11">
                  <c:v>-3.6827163251930695</c:v>
                </c:pt>
                <c:pt idx="12">
                  <c:v>-1.9327915301975196</c:v>
                </c:pt>
                <c:pt idx="13">
                  <c:v>0.75272425529828713</c:v>
                </c:pt>
              </c:numCache>
            </c:numRef>
          </c:val>
          <c:smooth val="0"/>
          <c:extLst>
            <c:ext xmlns:c16="http://schemas.microsoft.com/office/drawing/2014/chart" uri="{C3380CC4-5D6E-409C-BE32-E72D297353CC}">
              <c16:uniqueId val="{00000000-DD21-485A-9A31-CA32E3955682}"/>
            </c:ext>
          </c:extLst>
        </c:ser>
        <c:ser>
          <c:idx val="1"/>
          <c:order val="1"/>
          <c:tx>
            <c:strRef>
              <c:f>'CE.1 Expense growth'!$D$15</c:f>
              <c:strCache>
                <c:ptCount val="1"/>
                <c:pt idx="0">
                  <c:v>Long-term average revenue growth</c:v>
                </c:pt>
              </c:strCache>
            </c:strRef>
          </c:tx>
          <c:spPr>
            <a:ln w="28575">
              <a:solidFill>
                <a:srgbClr val="A50776"/>
              </a:solidFill>
              <a:prstDash val="dash"/>
            </a:ln>
          </c:spPr>
          <c:marker>
            <c:symbol val="none"/>
          </c:marker>
          <c:cat>
            <c:strRef>
              <c:f>'CE.1 Expense growth'!$S$9:$AF$9</c:f>
              <c:strCache>
                <c:ptCount val="14"/>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pt idx="12">
                  <c:v>2022-23</c:v>
                </c:pt>
                <c:pt idx="13">
                  <c:v>2023-24</c:v>
                </c:pt>
              </c:strCache>
            </c:strRef>
          </c:cat>
          <c:val>
            <c:numRef>
              <c:f>'CE.1 Expense growth'!$S$15:$AF$15</c:f>
              <c:numCache>
                <c:formatCode>#,##0.00</c:formatCode>
                <c:ptCount val="14"/>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numCache>
            </c:numRef>
          </c:val>
          <c:smooth val="0"/>
          <c:extLst>
            <c:ext xmlns:c16="http://schemas.microsoft.com/office/drawing/2014/chart" uri="{C3380CC4-5D6E-409C-BE32-E72D297353CC}">
              <c16:uniqueId val="{00000001-DD21-485A-9A31-CA32E3955682}"/>
            </c:ext>
          </c:extLst>
        </c:ser>
        <c:dLbls>
          <c:showLegendKey val="0"/>
          <c:showVal val="0"/>
          <c:showCatName val="0"/>
          <c:showSerName val="0"/>
          <c:showPercent val="0"/>
          <c:showBubbleSize val="0"/>
        </c:dLbls>
        <c:smooth val="0"/>
        <c:axId val="255384960"/>
        <c:axId val="258955520"/>
      </c:lineChart>
      <c:catAx>
        <c:axId val="255384960"/>
        <c:scaling>
          <c:orientation val="minMax"/>
        </c:scaling>
        <c:delete val="0"/>
        <c:axPos val="b"/>
        <c:numFmt formatCode="General" sourceLinked="0"/>
        <c:majorTickMark val="cross"/>
        <c:minorTickMark val="none"/>
        <c:tickLblPos val="low"/>
        <c:spPr>
          <a:ln>
            <a:solidFill>
              <a:sysClr val="windowText" lastClr="000000">
                <a:alpha val="75000"/>
              </a:sysClr>
            </a:solidFill>
          </a:ln>
        </c:spPr>
        <c:txPr>
          <a:bodyPr rot="-2700000"/>
          <a:lstStyle/>
          <a:p>
            <a:pPr>
              <a:defRPr sz="750">
                <a:solidFill>
                  <a:sysClr val="windowText" lastClr="000000"/>
                </a:solidFill>
                <a:latin typeface="Arial" panose="020B0604020202020204" pitchFamily="34" charset="0"/>
                <a:cs typeface="Arial" panose="020B0604020202020204" pitchFamily="34" charset="0"/>
              </a:defRPr>
            </a:pPr>
            <a:endParaRPr lang="en-US"/>
          </a:p>
        </c:txPr>
        <c:crossAx val="258955520"/>
        <c:crosses val="autoZero"/>
        <c:auto val="1"/>
        <c:lblAlgn val="ctr"/>
        <c:lblOffset val="100"/>
        <c:noMultiLvlLbl val="0"/>
      </c:catAx>
      <c:valAx>
        <c:axId val="258955520"/>
        <c:scaling>
          <c:orientation val="minMax"/>
          <c:max val="12"/>
          <c:min val="-6"/>
        </c:scaling>
        <c:delete val="0"/>
        <c:axPos val="l"/>
        <c:majorGridlines>
          <c:spPr>
            <a:ln>
              <a:solidFill>
                <a:srgbClr val="DCDFDA">
                  <a:alpha val="49804"/>
                </a:srgbClr>
              </a:solidFill>
            </a:ln>
          </c:spPr>
        </c:majorGridlines>
        <c:title>
          <c:tx>
            <c:rich>
              <a:bodyPr rot="-5400000" vert="horz"/>
              <a:lstStyle/>
              <a:p>
                <a:pPr>
                  <a:defRPr sz="750" b="0">
                    <a:solidFill>
                      <a:sysClr val="windowText" lastClr="000000"/>
                    </a:solidFill>
                    <a:latin typeface="Arial" panose="020B0604020202020204" pitchFamily="34" charset="0"/>
                    <a:cs typeface="Arial" panose="020B0604020202020204" pitchFamily="34" charset="0"/>
                  </a:defRPr>
                </a:pPr>
                <a:r>
                  <a:rPr lang="en-US" sz="750" b="0">
                    <a:solidFill>
                      <a:sysClr val="windowText" lastClr="000000"/>
                    </a:solidFill>
                    <a:latin typeface="Arial" panose="020B0604020202020204" pitchFamily="34" charset="0"/>
                    <a:cs typeface="Arial" panose="020B0604020202020204" pitchFamily="34" charset="0"/>
                  </a:rPr>
                  <a:t>Per cent</a:t>
                </a:r>
              </a:p>
            </c:rich>
          </c:tx>
          <c:layout>
            <c:manualLayout>
              <c:xMode val="edge"/>
              <c:yMode val="edge"/>
              <c:x val="2.0839426613486964E-3"/>
              <c:y val="0.35067395645311777"/>
            </c:manualLayout>
          </c:layout>
          <c:overlay val="0"/>
        </c:title>
        <c:numFmt formatCode="#,##0.0" sourceLinked="0"/>
        <c:majorTickMark val="out"/>
        <c:minorTickMark val="none"/>
        <c:tickLblPos val="nextTo"/>
        <c:spPr>
          <a:ln w="6350">
            <a:solidFill>
              <a:schemeClr val="tx1">
                <a:alpha val="75000"/>
              </a:schemeClr>
            </a:solidFill>
          </a:ln>
        </c:spPr>
        <c:txPr>
          <a:bodyPr/>
          <a:lstStyle/>
          <a:p>
            <a:pPr>
              <a:defRPr sz="750">
                <a:solidFill>
                  <a:sysClr val="windowText" lastClr="000000"/>
                </a:solidFill>
                <a:latin typeface="Arial" panose="020B0604020202020204" pitchFamily="34" charset="0"/>
                <a:cs typeface="Arial" panose="020B0604020202020204" pitchFamily="34" charset="0"/>
              </a:defRPr>
            </a:pPr>
            <a:endParaRPr lang="en-US"/>
          </a:p>
        </c:txPr>
        <c:crossAx val="255384960"/>
        <c:crosses val="autoZero"/>
        <c:crossBetween val="midCat"/>
      </c:valAx>
      <c:spPr>
        <a:noFill/>
        <a:ln>
          <a:noFill/>
        </a:ln>
      </c:spPr>
    </c:plotArea>
    <c:legend>
      <c:legendPos val="b"/>
      <c:layout>
        <c:manualLayout>
          <c:xMode val="edge"/>
          <c:yMode val="edge"/>
          <c:x val="5.1288943208722688E-2"/>
          <c:y val="0.93556072932743883"/>
          <c:w val="0.89999993693443991"/>
          <c:h val="6.273982964141582E-2"/>
        </c:manualLayout>
      </c:layout>
      <c:overlay val="0"/>
      <c:txPr>
        <a:bodyPr/>
        <a:lstStyle/>
        <a:p>
          <a:pPr>
            <a:defRPr sz="750">
              <a:solidFill>
                <a:srgbClr val="57514D"/>
              </a:solidFill>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'[Appendix E - tables and charts.xlsx]Tax revenue to GSP'!$F$23</c:f>
              <c:strCache>
                <c:ptCount val="1"/>
                <c:pt idx="0">
                  <c:v>Tax revenue/GSP</c:v>
                </c:pt>
              </c:strCache>
            </c:strRef>
          </c:tx>
          <c:spPr>
            <a:ln w="28575">
              <a:solidFill>
                <a:srgbClr val="00426F"/>
              </a:solidFill>
            </a:ln>
          </c:spPr>
          <c:marker>
            <c:symbol val="none"/>
          </c:marker>
          <c:cat>
            <c:strRef>
              <c:f>'[Appendix E - tables and charts.xlsx]Tax revenue to GSP'!$H$17:$T$17</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'[Appendix E - tables and charts.xlsx]Tax revenue to GSP'!$H$23:$T$23</c:f>
              <c:numCache>
                <c:formatCode>#,##0.00_);\(#,##0.00\)</c:formatCode>
                <c:ptCount val="13"/>
                <c:pt idx="0">
                  <c:v>4.3976160068114094</c:v>
                </c:pt>
                <c:pt idx="1">
                  <c:v>4.5366357069143444</c:v>
                </c:pt>
                <c:pt idx="2">
                  <c:v>4.8706896551724137</c:v>
                </c:pt>
                <c:pt idx="3">
                  <c:v>5.0302971825549978</c:v>
                </c:pt>
                <c:pt idx="4">
                  <c:v>5.4</c:v>
                </c:pt>
                <c:pt idx="5">
                  <c:v>5.2579074000000006</c:v>
                </c:pt>
                <c:pt idx="6">
                  <c:v>5.2</c:v>
                </c:pt>
                <c:pt idx="7">
                  <c:v>4.9609695365558046</c:v>
                </c:pt>
                <c:pt idx="8">
                  <c:v>4.8113694016438373</c:v>
                </c:pt>
                <c:pt idx="9">
                  <c:v>5.0311595008291121</c:v>
                </c:pt>
                <c:pt idx="10">
                  <c:v>4.9682390494474813</c:v>
                </c:pt>
                <c:pt idx="11">
                  <c:v>5.1833928669831737</c:v>
                </c:pt>
                <c:pt idx="12">
                  <c:v>5.2134151383962832</c:v>
                </c:pt>
              </c:numCache>
            </c:numRef>
          </c:val>
          <c:smooth val="0"/>
          <c:extLst>
            <c:ext xmlns:c16="http://schemas.microsoft.com/office/drawing/2014/chart" uri="{C3380CC4-5D6E-409C-BE32-E72D297353CC}">
              <c16:uniqueId val="{00000000-F038-49B2-A16E-89873DECDC5D}"/>
            </c:ext>
          </c:extLst>
        </c:ser>
        <c:dLbls>
          <c:showLegendKey val="0"/>
          <c:showVal val="0"/>
          <c:showCatName val="0"/>
          <c:showSerName val="0"/>
          <c:showPercent val="0"/>
          <c:showBubbleSize val="0"/>
        </c:dLbls>
        <c:smooth val="0"/>
        <c:axId val="255384960"/>
        <c:axId val="258955520"/>
      </c:lineChart>
      <c:catAx>
        <c:axId val="255384960"/>
        <c:scaling>
          <c:orientation val="minMax"/>
        </c:scaling>
        <c:delete val="0"/>
        <c:axPos val="b"/>
        <c:numFmt formatCode="General" sourceLinked="0"/>
        <c:majorTickMark val="none"/>
        <c:minorTickMark val="none"/>
        <c:tickLblPos val="low"/>
        <c:spPr>
          <a:ln>
            <a:noFill/>
          </a:ln>
        </c:spPr>
        <c:crossAx val="258955520"/>
        <c:crosses val="autoZero"/>
        <c:auto val="1"/>
        <c:lblAlgn val="ctr"/>
        <c:lblOffset val="100"/>
        <c:noMultiLvlLbl val="0"/>
      </c:catAx>
      <c:valAx>
        <c:axId val="258955520"/>
        <c:scaling>
          <c:orientation val="minMax"/>
          <c:max val="6"/>
          <c:min val="4"/>
        </c:scaling>
        <c:delete val="0"/>
        <c:axPos val="l"/>
        <c:majorGridlines>
          <c:spPr>
            <a:ln>
              <a:noFill/>
            </a:ln>
          </c:spPr>
        </c:majorGridlines>
        <c:title>
          <c:tx>
            <c:rich>
              <a:bodyPr rot="-5400000" vert="horz"/>
              <a:lstStyle/>
              <a:p>
                <a:pPr>
                  <a:defRPr sz="750"/>
                </a:pPr>
                <a:r>
                  <a:rPr lang="en-US" sz="750" b="0"/>
                  <a:t>Per cent</a:t>
                </a:r>
              </a:p>
            </c:rich>
          </c:tx>
          <c:layout>
            <c:manualLayout>
              <c:xMode val="edge"/>
              <c:yMode val="edge"/>
              <c:x val="1.4534675072952596E-2"/>
              <c:y val="0.29240662663430006"/>
            </c:manualLayout>
          </c:layout>
          <c:overlay val="0"/>
        </c:title>
        <c:numFmt formatCode="#,##0.0" sourceLinked="0"/>
        <c:majorTickMark val="out"/>
        <c:minorTickMark val="none"/>
        <c:tickLblPos val="nextTo"/>
        <c:spPr>
          <a:ln>
            <a:noFill/>
          </a:ln>
        </c:spPr>
        <c:crossAx val="255384960"/>
        <c:crosses val="autoZero"/>
        <c:crossBetween val="between"/>
      </c:valAx>
      <c:spPr>
        <a:noFill/>
        <a:ln>
          <a:noFill/>
        </a:ln>
      </c:spPr>
    </c:plotArea>
    <c:legend>
      <c:legendPos val="b"/>
      <c:layout>
        <c:manualLayout>
          <c:xMode val="edge"/>
          <c:yMode val="edge"/>
          <c:x val="1.3807059074421868E-2"/>
          <c:y val="0.86594248923304473"/>
          <c:w val="0.98548332625486068"/>
          <c:h val="0.13284702093397746"/>
        </c:manualLayout>
      </c:layout>
      <c:overlay val="0"/>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documenttasks/documenttasks1.xml><?xml version="1.0" encoding="utf-8"?>
<t:Tasks xmlns:t="http://schemas.microsoft.com/office/tasks/2019/documenttasks">
  <t:Task id="{FAF74266-886A-4ECC-B70F-DB080A5D8D28}">
    <t:Anchor>
      <t:Comment id="592178863"/>
    </t:Anchor>
    <t:History>
      <t:Event id="{983B8C23-48A1-4A0A-A6C1-4EA8429490C3}" time="2020-11-03T10:40:35Z">
        <t:Attribution userId="S::jacqueline.ripamonti@treasury.nsw.gov.au::daf360da-a46f-4cb2-84f4-ee9e6c7d87b2" userProvider="AD" userName="Jacqui Ripamonti"/>
        <t:Anchor>
          <t:Comment id="1090415888"/>
        </t:Anchor>
        <t:Create/>
      </t:Event>
      <t:Event id="{E8DFACFE-2AA8-4259-8925-728D5F702F43}" time="2020-11-03T10:40:35Z">
        <t:Attribution userId="S::jacqueline.ripamonti@treasury.nsw.gov.au::daf360da-a46f-4cb2-84f4-ee9e6c7d87b2" userProvider="AD" userName="Jacqui Ripamonti"/>
        <t:Anchor>
          <t:Comment id="1090415888"/>
        </t:Anchor>
        <t:Assign userId="S::Farid.Beshara@treasury.nsw.gov.au::544392ba-61b5-4764-85c5-acc70df1e67b" userProvider="AD" userName="Farid Beshara"/>
      </t:Event>
      <t:Event id="{F6C60A2F-2E7C-4AB1-863A-536BF2B2460F}" time="2020-11-03T10:40:35Z">
        <t:Attribution userId="S::jacqueline.ripamonti@treasury.nsw.gov.au::daf360da-a46f-4cb2-84f4-ee9e6c7d87b2" userProvider="AD" userName="Jacqui Ripamonti"/>
        <t:Anchor>
          <t:Comment id="1090415888"/>
        </t:Anchor>
        <t:SetTitle title="@Farid Beshara could you please review for Emma"/>
      </t:Event>
    </t:History>
  </t:Task>
</t:Tasks>
</file>

<file path=word/drawings/drawing1.xml><?xml version="1.0" encoding="utf-8"?>
<c:userShapes xmlns:c="http://schemas.openxmlformats.org/drawingml/2006/chart">
  <cdr:relSizeAnchor xmlns:cdr="http://schemas.openxmlformats.org/drawingml/2006/chartDrawing">
    <cdr:from>
      <cdr:x>0.64736</cdr:x>
      <cdr:y>0.06518</cdr:y>
    </cdr:from>
    <cdr:to>
      <cdr:x>0.91536</cdr:x>
      <cdr:y>0.15501</cdr:y>
    </cdr:to>
    <cdr:sp macro="" textlink="">
      <cdr:nvSpPr>
        <cdr:cNvPr id="2" name="TextBox 1">
          <a:extLst xmlns:a="http://schemas.openxmlformats.org/drawingml/2006/main">
            <a:ext uri="{FF2B5EF4-FFF2-40B4-BE49-F238E27FC236}">
              <a16:creationId xmlns:a16="http://schemas.microsoft.com/office/drawing/2014/main" id="{6528F83F-E1A2-459B-9FAB-31875D54E2F6}"/>
            </a:ext>
          </a:extLst>
        </cdr:cNvPr>
        <cdr:cNvSpPr txBox="1"/>
      </cdr:nvSpPr>
      <cdr:spPr>
        <a:xfrm xmlns:a="http://schemas.openxmlformats.org/drawingml/2006/main">
          <a:off x="5493068" y="241935"/>
          <a:ext cx="2274093"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0.36486</cdr:x>
      <cdr:y>0.06608</cdr:y>
    </cdr:from>
    <cdr:to>
      <cdr:x>0.67234</cdr:x>
      <cdr:y>0.32558</cdr:y>
    </cdr:to>
    <cdr:sp macro="" textlink="">
      <cdr:nvSpPr>
        <cdr:cNvPr id="3" name="TextBox 2">
          <a:extLst xmlns:a="http://schemas.openxmlformats.org/drawingml/2006/main">
            <a:ext uri="{FF2B5EF4-FFF2-40B4-BE49-F238E27FC236}">
              <a16:creationId xmlns:a16="http://schemas.microsoft.com/office/drawing/2014/main" id="{E62A25E1-D871-4CEA-AE6A-45B0FA3F12D1}"/>
            </a:ext>
          </a:extLst>
        </cdr:cNvPr>
        <cdr:cNvSpPr txBox="1"/>
      </cdr:nvSpPr>
      <cdr:spPr>
        <a:xfrm xmlns:a="http://schemas.openxmlformats.org/drawingml/2006/main">
          <a:off x="2232982" y="189450"/>
          <a:ext cx="1881818" cy="7439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50">
              <a:latin typeface="Arial" panose="020B0604020202020204" pitchFamily="34" charset="0"/>
              <a:cs typeface="Arial" panose="020B0604020202020204" pitchFamily="34" charset="0"/>
            </a:rPr>
            <a:t>NSW Government supporting the economy through COVID-19</a:t>
          </a:r>
        </a:p>
      </cdr:txBody>
    </cdr:sp>
  </cdr:relSizeAnchor>
  <cdr:relSizeAnchor xmlns:cdr="http://schemas.openxmlformats.org/drawingml/2006/chartDrawing">
    <cdr:from>
      <cdr:x>0.62497</cdr:x>
      <cdr:y>0.09985</cdr:y>
    </cdr:from>
    <cdr:to>
      <cdr:x>0.69107</cdr:x>
      <cdr:y>0.09985</cdr:y>
    </cdr:to>
    <cdr:cxnSp macro="">
      <cdr:nvCxnSpPr>
        <cdr:cNvPr id="5" name="Straight Arrow Connector 4">
          <a:extLst xmlns:a="http://schemas.openxmlformats.org/drawingml/2006/main">
            <a:ext uri="{FF2B5EF4-FFF2-40B4-BE49-F238E27FC236}">
              <a16:creationId xmlns:a16="http://schemas.microsoft.com/office/drawing/2014/main" id="{089CCA38-257B-47B0-8CEC-C0516A85EFFF}"/>
            </a:ext>
          </a:extLst>
        </cdr:cNvPr>
        <cdr:cNvCxnSpPr/>
      </cdr:nvCxnSpPr>
      <cdr:spPr>
        <a:xfrm xmlns:a="http://schemas.openxmlformats.org/drawingml/2006/main">
          <a:off x="5325097" y="384954"/>
          <a:ext cx="563218" cy="0"/>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Dougal Horton</DisplayName>
        <AccountId>99</AccountId>
        <AccountType/>
      </UserInfo>
      <UserInfo>
        <DisplayName>James Atkinson</DisplayName>
        <AccountId>47</AccountId>
        <AccountType/>
      </UserInfo>
      <UserInfo>
        <DisplayName>Emma Mati</DisplayName>
        <AccountId>221</AccountId>
        <AccountType/>
      </UserInfo>
      <UserInfo>
        <DisplayName>Farid Beshara</DisplayName>
        <AccountId>39</AccountId>
        <AccountType/>
      </UserInfo>
      <UserInfo>
        <DisplayName>Kathleen Chua</DisplayName>
        <AccountId>205</AccountId>
        <AccountType/>
      </UserInfo>
      <UserInfo>
        <DisplayName>Amy Zhu</DisplayName>
        <AccountId>749</AccountId>
        <AccountType/>
      </UserInfo>
      <UserInfo>
        <DisplayName>Mohammad Iqbal</DisplayName>
        <AccountId>115</AccountId>
        <AccountType/>
      </UserInfo>
      <UserInfo>
        <DisplayName>Jacqui Homer</DisplayName>
        <AccountId>748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1DED-AD42-44BE-BFDE-ED60B7D7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B3F34-D772-4415-AC4E-ED1500A01976}">
  <ds:schemaRefs>
    <ds:schemaRef ds:uri="http://schemas.microsoft.com/sharepoint/v3/contenttype/forms"/>
  </ds:schemaRefs>
</ds:datastoreItem>
</file>

<file path=customXml/itemProps3.xml><?xml version="1.0" encoding="utf-8"?>
<ds:datastoreItem xmlns:ds="http://schemas.openxmlformats.org/officeDocument/2006/customXml" ds:itemID="{56A33038-D07C-49B1-9F5C-2381C38ACCAF}">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4.xml><?xml version="1.0" encoding="utf-8"?>
<ds:datastoreItem xmlns:ds="http://schemas.openxmlformats.org/officeDocument/2006/customXml" ds:itemID="{43AF5A41-8FC5-45E7-B923-5A9D8F90D32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359</TotalTime>
  <Pages>7</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2019-20 Budget Paper No. 1 - Budget Statement - Appendix E - Performance and Reporting under the Fiscal Responsibility Act 2012</vt:lpstr>
    </vt:vector>
  </TitlesOfParts>
  <Company>ServiceFirst</Company>
  <LinksUpToDate>false</LinksUpToDate>
  <CharactersWithSpaces>16021</CharactersWithSpaces>
  <SharedDoc>false</SharedDoc>
  <HLinks>
    <vt:vector size="6" baseType="variant">
      <vt:variant>
        <vt:i4>786538</vt:i4>
      </vt:variant>
      <vt:variant>
        <vt:i4>0</vt:i4>
      </vt:variant>
      <vt:variant>
        <vt:i4>0</vt:i4>
      </vt:variant>
      <vt:variant>
        <vt:i4>5</vt:i4>
      </vt:variant>
      <vt:variant>
        <vt:lpwstr>mailto:Francess.Lavorato@treasury.nsw.gov.au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Appendices E: Performance and Reporting under the Fiscal Responsibility Act</dc:title>
  <dc:subject/>
  <dc:creator>The Treasury;Treasurer's Office</dc:creator>
  <cp:keywords/>
  <cp:lastModifiedBy>Francess Lavorato</cp:lastModifiedBy>
  <cp:revision>1189</cp:revision>
  <cp:lastPrinted>2020-11-13T16:32:00Z</cp:lastPrinted>
  <dcterms:created xsi:type="dcterms:W3CDTF">2018-06-01T02:28:00Z</dcterms:created>
  <dcterms:modified xsi:type="dcterms:W3CDTF">2020-11-15T05:35:00Z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