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0.xml" ContentType="application/vnd.ms-office.classificationlabels+xml"/>
  <Override PartName="/docMetadata/LabelInfo.xml" ContentType="application/vnd.ms-office.classificationlabel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AF702" w14:textId="218594B8" w:rsidR="00637B53" w:rsidRPr="00DA423D" w:rsidRDefault="00637B53" w:rsidP="00013C61">
      <w:pPr>
        <w:pStyle w:val="Heading1"/>
        <w:spacing w:after="360"/>
      </w:pPr>
      <w:r w:rsidRPr="00DA423D">
        <w:t>ABOUT THIS BUDGET PAPER</w:t>
      </w:r>
    </w:p>
    <w:p w14:paraId="379691E2" w14:textId="7F781A0E" w:rsidR="00637B53" w:rsidRDefault="00637B53" w:rsidP="000957F3">
      <w:pPr>
        <w:pStyle w:val="Heading2"/>
      </w:pPr>
      <w:r>
        <w:t xml:space="preserve">Purpose and </w:t>
      </w:r>
      <w:r w:rsidRPr="000957F3">
        <w:t>scope</w:t>
      </w:r>
    </w:p>
    <w:p w14:paraId="6CB44C53" w14:textId="37BEF5FA" w:rsidR="00AD2002" w:rsidRDefault="00AD2002" w:rsidP="000957F3">
      <w:pPr>
        <w:pStyle w:val="BodyText"/>
      </w:pPr>
      <w:r>
        <w:t>Budget Paper No.</w:t>
      </w:r>
      <w:r w:rsidR="00F716DE">
        <w:t xml:space="preserve"> 2</w:t>
      </w:r>
      <w:r>
        <w:t xml:space="preserve"> </w:t>
      </w:r>
      <w:r w:rsidRPr="40BFA82C">
        <w:rPr>
          <w:i/>
          <w:iCs/>
        </w:rPr>
        <w:t>Outcome</w:t>
      </w:r>
      <w:r w:rsidR="00416A4D" w:rsidRPr="40BFA82C">
        <w:rPr>
          <w:i/>
          <w:iCs/>
        </w:rPr>
        <w:t>s</w:t>
      </w:r>
      <w:r w:rsidRPr="40BFA82C">
        <w:rPr>
          <w:i/>
          <w:iCs/>
        </w:rPr>
        <w:t xml:space="preserve"> Statement </w:t>
      </w:r>
      <w:r>
        <w:t xml:space="preserve">supports transparency and accountability by reporting how resources have been allocated across </w:t>
      </w:r>
      <w:r w:rsidR="004152E6">
        <w:t>C</w:t>
      </w:r>
      <w:r>
        <w:t>lusters and State Outcomes and how N</w:t>
      </w:r>
      <w:r w:rsidR="00C131D9">
        <w:t xml:space="preserve">ew </w:t>
      </w:r>
      <w:r>
        <w:t>S</w:t>
      </w:r>
      <w:r w:rsidR="00C131D9">
        <w:t xml:space="preserve">outh </w:t>
      </w:r>
      <w:r>
        <w:t>W</w:t>
      </w:r>
      <w:r w:rsidR="00C131D9">
        <w:t>ales</w:t>
      </w:r>
      <w:r>
        <w:t xml:space="preserve"> is performing</w:t>
      </w:r>
      <w:r w:rsidR="00ED182B">
        <w:t xml:space="preserve"> against</w:t>
      </w:r>
      <w:r>
        <w:t xml:space="preserve"> </w:t>
      </w:r>
      <w:r w:rsidR="00ED182B">
        <w:t>these State Outcomes</w:t>
      </w:r>
      <w:r>
        <w:t xml:space="preserve">. Further details on the scope and purpose of this Budget paper is outlined in </w:t>
      </w:r>
      <w:r w:rsidRPr="40BFA82C">
        <w:rPr>
          <w:i/>
          <w:iCs/>
        </w:rPr>
        <w:t>How to Read the Budget Papers</w:t>
      </w:r>
      <w:r>
        <w:t>.</w:t>
      </w:r>
    </w:p>
    <w:p w14:paraId="1E2E2FDB" w14:textId="6C2BF9DF" w:rsidR="007778CF" w:rsidRPr="00AD2002" w:rsidRDefault="00AD2002" w:rsidP="000957F3">
      <w:pPr>
        <w:pStyle w:val="BodyText"/>
      </w:pPr>
      <w:r w:rsidRPr="00AD2002">
        <w:t xml:space="preserve">Agency financial statements and agency expense summaries, which were previously included in Budget </w:t>
      </w:r>
      <w:r>
        <w:t>Paper</w:t>
      </w:r>
      <w:r w:rsidR="363B2BE9">
        <w:t xml:space="preserve"> </w:t>
      </w:r>
      <w:r w:rsidR="006B22CD">
        <w:t>3</w:t>
      </w:r>
      <w:r w:rsidRPr="00AD2002">
        <w:t xml:space="preserve">, are now presented in Budget Paper </w:t>
      </w:r>
      <w:r w:rsidR="002C2530">
        <w:t>4:</w:t>
      </w:r>
      <w:r w:rsidRPr="00AD2002">
        <w:t xml:space="preserve"> </w:t>
      </w:r>
      <w:r w:rsidRPr="00AD2002">
        <w:rPr>
          <w:i/>
          <w:iCs/>
        </w:rPr>
        <w:t>Agency Financial Statements</w:t>
      </w:r>
      <w:r w:rsidRPr="00AD2002">
        <w:t>.</w:t>
      </w:r>
    </w:p>
    <w:p w14:paraId="0F431343" w14:textId="47CAE6BA" w:rsidR="00637B53" w:rsidRDefault="00AD2002" w:rsidP="00F113B3">
      <w:pPr>
        <w:pStyle w:val="Heading2"/>
      </w:pPr>
      <w:r>
        <w:t xml:space="preserve">Outcome </w:t>
      </w:r>
      <w:r w:rsidRPr="00F113B3">
        <w:t>Budgeting</w:t>
      </w:r>
    </w:p>
    <w:p w14:paraId="56547D00" w14:textId="08186A4B" w:rsidR="001B7BAA" w:rsidRDefault="001B7BAA" w:rsidP="000957F3">
      <w:pPr>
        <w:pStyle w:val="BodyText"/>
      </w:pPr>
      <w:r>
        <w:t>The fiscal pressures resulting from COVID-19 increase the importance of a strong framework for scrutinising and prioritising the use of every dollar spent by the State.</w:t>
      </w:r>
    </w:p>
    <w:p w14:paraId="024C5FFD" w14:textId="0272C15A" w:rsidR="001B7BAA" w:rsidRPr="00384F47" w:rsidRDefault="001B7BAA" w:rsidP="000957F3">
      <w:pPr>
        <w:pStyle w:val="BodyText"/>
      </w:pPr>
      <w:r>
        <w:t xml:space="preserve">Outcome Budgeting is a </w:t>
      </w:r>
      <w:r w:rsidRPr="00D7615C">
        <w:t xml:space="preserve">multi-year reform program </w:t>
      </w:r>
      <w:r w:rsidR="00CF7B2D">
        <w:t xml:space="preserve">that continues to put the needs of people at the centre of investment decision-making across the sector. It </w:t>
      </w:r>
      <w:r w:rsidRPr="00D7615C">
        <w:t>improve</w:t>
      </w:r>
      <w:r w:rsidR="00CF7B2D">
        <w:t>s</w:t>
      </w:r>
      <w:r w:rsidRPr="00D7615C">
        <w:t xml:space="preserve"> oversight of total expenditure, as</w:t>
      </w:r>
      <w:r>
        <w:t xml:space="preserve"> well as provid</w:t>
      </w:r>
      <w:r w:rsidR="00321543">
        <w:t>ing</w:t>
      </w:r>
      <w:r>
        <w:t xml:space="preserve"> greater evidence to support and prioritise resource allocation. Sustained over time, Outcome Budgeting improve</w:t>
      </w:r>
      <w:r w:rsidR="00553A41">
        <w:t>s</w:t>
      </w:r>
      <w:r>
        <w:t xml:space="preserve"> the way that </w:t>
      </w:r>
      <w:r w:rsidR="001251AB">
        <w:t>Government</w:t>
      </w:r>
      <w:r>
        <w:t xml:space="preserve"> plans and manages resources to deliver outcomes for the people of N</w:t>
      </w:r>
      <w:r w:rsidR="00F97767">
        <w:t xml:space="preserve">ew </w:t>
      </w:r>
      <w:r>
        <w:t>S</w:t>
      </w:r>
      <w:r w:rsidR="00F97767">
        <w:t xml:space="preserve">outh </w:t>
      </w:r>
      <w:r>
        <w:t>W</w:t>
      </w:r>
      <w:r w:rsidR="00F97767">
        <w:t>ales</w:t>
      </w:r>
      <w:r>
        <w:t>.</w:t>
      </w:r>
    </w:p>
    <w:p w14:paraId="0309E2C7" w14:textId="50B07AEA" w:rsidR="00992F3B" w:rsidRDefault="00992F3B" w:rsidP="000C51B6">
      <w:pPr>
        <w:pStyle w:val="Heading3"/>
        <w:tabs>
          <w:tab w:val="left" w:pos="6280"/>
        </w:tabs>
      </w:pPr>
      <w:r>
        <w:t xml:space="preserve">The Outcome Budgeting </w:t>
      </w:r>
      <w:r w:rsidRPr="005E3A8E">
        <w:t>reform</w:t>
      </w:r>
      <w:r>
        <w:t xml:space="preserve"> journey</w:t>
      </w:r>
      <w:r w:rsidR="000C51B6">
        <w:tab/>
      </w:r>
    </w:p>
    <w:p w14:paraId="2D4DADDB" w14:textId="2BDC96CE" w:rsidR="00992F3B" w:rsidRDefault="00E93857" w:rsidP="000957F3">
      <w:pPr>
        <w:pStyle w:val="BodyText"/>
      </w:pPr>
      <w:r>
        <w:t xml:space="preserve">The </w:t>
      </w:r>
      <w:r w:rsidR="00992F3B" w:rsidDel="00B5707F">
        <w:t xml:space="preserve">NSW Government announced Outcome Budgeting in 2017-18 and has progressively strengthened the framework and application across the sector. </w:t>
      </w:r>
      <w:r w:rsidR="00072A57">
        <w:t>I</w:t>
      </w:r>
      <w:r w:rsidR="00992F3B" w:rsidDel="00B5707F">
        <w:t xml:space="preserve">t was one of four pillars of the 2019-20 Budget and has seen significant development over the year. </w:t>
      </w:r>
    </w:p>
    <w:p w14:paraId="48922AD6" w14:textId="77777777" w:rsidR="00C4795A" w:rsidRDefault="00C4795A" w:rsidP="000957F3">
      <w:pPr>
        <w:pStyle w:val="BodyText"/>
      </w:pPr>
    </w:p>
    <w:p w14:paraId="293747D8" w14:textId="2F4D80B3" w:rsidR="00DC4E5D" w:rsidRDefault="00CF4FDB" w:rsidP="00EB778D">
      <w:pPr>
        <w:tabs>
          <w:tab w:val="left" w:pos="1134"/>
        </w:tabs>
        <w:rPr>
          <w:b/>
          <w:bCs/>
          <w:sz w:val="26"/>
          <w:szCs w:val="26"/>
        </w:rPr>
      </w:pPr>
      <w:r w:rsidRPr="40BFA82C">
        <w:rPr>
          <w:rFonts w:eastAsia="Times New Roman" w:cs="Times New Roman"/>
          <w:i/>
          <w:iCs/>
          <w:color w:val="4F4F4F"/>
          <w:lang w:val="en-AU" w:eastAsia="en-AU"/>
        </w:rPr>
        <w:t>Figure 1:</w:t>
      </w:r>
      <w:r w:rsidR="004034F5" w:rsidRPr="40BFA82C">
        <w:rPr>
          <w:rFonts w:eastAsia="Times New Roman" w:cs="Times New Roman"/>
          <w:i/>
          <w:iCs/>
          <w:color w:val="4F4F4F"/>
          <w:lang w:val="en-AU" w:eastAsia="en-AU"/>
        </w:rPr>
        <w:t xml:space="preserve"> </w:t>
      </w:r>
      <w:r w:rsidR="002D2C94" w:rsidRPr="00F0429A">
        <w:rPr>
          <w:rFonts w:eastAsia="Times New Roman" w:cs="Times New Roman"/>
          <w:i/>
          <w:color w:val="4F4F4F"/>
          <w:szCs w:val="20"/>
          <w:lang w:val="en-AU" w:eastAsia="en-AU"/>
        </w:rPr>
        <w:tab/>
      </w:r>
      <w:r w:rsidRPr="40BFA82C">
        <w:rPr>
          <w:rFonts w:eastAsia="Times New Roman" w:cs="Times New Roman"/>
          <w:i/>
          <w:iCs/>
          <w:color w:val="4F4F4F"/>
          <w:lang w:val="en-AU" w:eastAsia="en-AU"/>
        </w:rPr>
        <w:t>The</w:t>
      </w:r>
      <w:r w:rsidR="00072A57" w:rsidRPr="40BFA82C">
        <w:rPr>
          <w:rFonts w:eastAsia="Times New Roman" w:cs="Times New Roman"/>
          <w:i/>
          <w:iCs/>
          <w:color w:val="4F4F4F"/>
          <w:lang w:val="en-AU" w:eastAsia="en-AU"/>
        </w:rPr>
        <w:t xml:space="preserve"> reform journey</w:t>
      </w:r>
      <w:r w:rsidR="00B2307B" w:rsidRPr="00B2307B">
        <w:rPr>
          <w:noProof/>
          <w:lang w:eastAsia="en-AU"/>
        </w:rPr>
        <w:drawing>
          <wp:inline distT="0" distB="0" distL="0" distR="0" wp14:anchorId="6AE4803B" wp14:editId="54A53A6F">
            <wp:extent cx="6646018" cy="3341406"/>
            <wp:effectExtent l="0" t="0" r="0" b="0"/>
            <wp:docPr id="142" name="Picture 35" descr="Figure 1:  The reform journey">
              <a:extLst xmlns:a="http://schemas.openxmlformats.org/drawingml/2006/main">
                <a:ext uri="{FF2B5EF4-FFF2-40B4-BE49-F238E27FC236}">
                  <a16:creationId xmlns:a16="http://schemas.microsoft.com/office/drawing/2014/main" id="{64386B8B-CA2A-456A-A7FD-F8D4EF6AA3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A screen 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64386B8B-CA2A-456A-A7FD-F8D4EF6AA3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6" t="13789" r="7058" b="10476"/>
                    <a:stretch/>
                  </pic:blipFill>
                  <pic:spPr bwMode="auto">
                    <a:xfrm>
                      <a:off x="0" y="0"/>
                      <a:ext cx="6663108" cy="3349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4E5D">
        <w:br w:type="page"/>
      </w:r>
    </w:p>
    <w:p w14:paraId="7A719260" w14:textId="370DD87F" w:rsidR="005179EC" w:rsidRDefault="005179EC" w:rsidP="00F0429A">
      <w:pPr>
        <w:pStyle w:val="Heading3"/>
      </w:pPr>
      <w:r>
        <w:lastRenderedPageBreak/>
        <w:t xml:space="preserve">The Outcome </w:t>
      </w:r>
      <w:r w:rsidR="003760D4">
        <w:t>and Performance F</w:t>
      </w:r>
      <w:r>
        <w:t xml:space="preserve">ramework </w:t>
      </w:r>
    </w:p>
    <w:p w14:paraId="5A15F2E2" w14:textId="1A1D6BB8" w:rsidR="001C41F3" w:rsidRDefault="00327B42" w:rsidP="000957F3">
      <w:pPr>
        <w:pStyle w:val="BodyText"/>
        <w:rPr>
          <w:b/>
          <w:highlight w:val="yellow"/>
        </w:rPr>
      </w:pPr>
      <w:r>
        <w:t xml:space="preserve">Outcome Budgeting </w:t>
      </w:r>
      <w:r w:rsidR="00992F3B">
        <w:t>provides a common</w:t>
      </w:r>
      <w:r w:rsidR="00710A17">
        <w:t xml:space="preserve"> </w:t>
      </w:r>
      <w:r w:rsidR="00E57389" w:rsidRPr="00E57389">
        <w:rPr>
          <w:i/>
          <w:iCs/>
        </w:rPr>
        <w:t>outcome and performance</w:t>
      </w:r>
      <w:r w:rsidR="002338C5" w:rsidRPr="00E57389">
        <w:rPr>
          <w:i/>
          <w:iCs/>
        </w:rPr>
        <w:t xml:space="preserve"> </w:t>
      </w:r>
      <w:r w:rsidRPr="00E57389">
        <w:rPr>
          <w:i/>
          <w:iCs/>
        </w:rPr>
        <w:t>fram</w:t>
      </w:r>
      <w:r w:rsidRPr="002B5A90">
        <w:rPr>
          <w:i/>
          <w:iCs/>
        </w:rPr>
        <w:t xml:space="preserve">ework </w:t>
      </w:r>
      <w:r w:rsidR="00D62994" w:rsidRPr="002B5A90">
        <w:t>t</w:t>
      </w:r>
      <w:r w:rsidR="00862523" w:rsidRPr="002B5A90">
        <w:t xml:space="preserve">hat </w:t>
      </w:r>
      <w:r w:rsidR="00524F2E" w:rsidRPr="002B5A90">
        <w:t xml:space="preserve">clearly </w:t>
      </w:r>
      <w:r w:rsidR="00862523" w:rsidRPr="002B5A90">
        <w:t xml:space="preserve">links </w:t>
      </w:r>
      <w:r w:rsidR="00226A82" w:rsidRPr="002B5A90">
        <w:t xml:space="preserve">government </w:t>
      </w:r>
      <w:r w:rsidR="00862523" w:rsidRPr="002B5A90">
        <w:t>expenditure</w:t>
      </w:r>
      <w:r w:rsidR="002B5A90">
        <w:t>,</w:t>
      </w:r>
      <w:r w:rsidR="001843A0" w:rsidRPr="002B5A90">
        <w:t xml:space="preserve"> </w:t>
      </w:r>
      <w:r w:rsidR="006B2713" w:rsidRPr="002B5A90">
        <w:t xml:space="preserve">to activities and </w:t>
      </w:r>
      <w:r w:rsidR="004034F5" w:rsidRPr="002B5A90">
        <w:t>the outcomes being achieved</w:t>
      </w:r>
      <w:r w:rsidR="000D260E" w:rsidRPr="002B5A90">
        <w:t>.</w:t>
      </w:r>
    </w:p>
    <w:p w14:paraId="5E8F27BE" w14:textId="089BF918" w:rsidR="00C2336F" w:rsidRPr="00F0429A" w:rsidRDefault="00C2336F" w:rsidP="002D2C94">
      <w:pPr>
        <w:tabs>
          <w:tab w:val="left" w:pos="1134"/>
          <w:tab w:val="left" w:pos="1492"/>
        </w:tabs>
        <w:spacing w:before="360"/>
        <w:rPr>
          <w:rFonts w:eastAsia="Times New Roman" w:cs="Times New Roman"/>
          <w:i/>
          <w:color w:val="4F4F4F"/>
          <w:szCs w:val="20"/>
          <w:lang w:val="en-AU" w:eastAsia="en-AU"/>
        </w:rPr>
      </w:pPr>
      <w:r w:rsidRPr="00F0429A">
        <w:rPr>
          <w:rFonts w:eastAsia="Times New Roman" w:cs="Times New Roman"/>
          <w:i/>
          <w:color w:val="4F4F4F"/>
          <w:szCs w:val="20"/>
          <w:lang w:val="en-AU" w:eastAsia="en-AU"/>
        </w:rPr>
        <w:t xml:space="preserve">Figure </w:t>
      </w:r>
      <w:r w:rsidR="004034F5" w:rsidRPr="00F0429A">
        <w:rPr>
          <w:rFonts w:eastAsia="Times New Roman" w:cs="Times New Roman"/>
          <w:i/>
          <w:color w:val="4F4F4F"/>
          <w:szCs w:val="20"/>
          <w:lang w:val="en-AU" w:eastAsia="en-AU"/>
        </w:rPr>
        <w:t>2</w:t>
      </w:r>
      <w:r w:rsidRPr="00F0429A">
        <w:rPr>
          <w:rFonts w:eastAsia="Times New Roman" w:cs="Times New Roman"/>
          <w:i/>
          <w:color w:val="4F4F4F"/>
          <w:szCs w:val="20"/>
          <w:lang w:val="en-AU" w:eastAsia="en-AU"/>
        </w:rPr>
        <w:t>:</w:t>
      </w:r>
      <w:r w:rsidR="004034F5" w:rsidRPr="00F0429A">
        <w:rPr>
          <w:rFonts w:eastAsia="Times New Roman" w:cs="Times New Roman"/>
          <w:i/>
          <w:color w:val="4F4F4F"/>
          <w:szCs w:val="20"/>
          <w:lang w:val="en-AU" w:eastAsia="en-AU"/>
        </w:rPr>
        <w:t xml:space="preserve"> </w:t>
      </w:r>
      <w:r w:rsidR="002D2C94" w:rsidRPr="00F0429A">
        <w:rPr>
          <w:rFonts w:eastAsia="Times New Roman" w:cs="Times New Roman"/>
          <w:i/>
          <w:color w:val="4F4F4F"/>
          <w:szCs w:val="20"/>
          <w:lang w:val="en-AU" w:eastAsia="en-AU"/>
        </w:rPr>
        <w:tab/>
      </w:r>
      <w:r w:rsidR="00E57389" w:rsidRPr="00F0429A">
        <w:rPr>
          <w:rFonts w:eastAsia="Times New Roman" w:cs="Times New Roman"/>
          <w:i/>
          <w:color w:val="4F4F4F"/>
          <w:szCs w:val="20"/>
          <w:lang w:val="en-AU" w:eastAsia="en-AU"/>
        </w:rPr>
        <w:t xml:space="preserve">The outcome and performance framework </w:t>
      </w:r>
    </w:p>
    <w:p w14:paraId="49B3AE22" w14:textId="0CE42E44" w:rsidR="0084264F" w:rsidRDefault="0084264F" w:rsidP="00F0429A"/>
    <w:p w14:paraId="703466CF" w14:textId="7B006E4B" w:rsidR="0084264F" w:rsidRDefault="00C749F1" w:rsidP="00C92699">
      <w:pPr>
        <w:jc w:val="center"/>
        <w:rPr>
          <w:b/>
          <w:bCs/>
          <w:sz w:val="23"/>
          <w:szCs w:val="23"/>
        </w:rPr>
      </w:pPr>
      <w:r>
        <w:rPr>
          <w:noProof/>
        </w:rPr>
        <w:drawing>
          <wp:inline distT="0" distB="0" distL="0" distR="0" wp14:anchorId="708578E1" wp14:editId="1401F395">
            <wp:extent cx="5558226" cy="2642950"/>
            <wp:effectExtent l="0" t="0" r="0" b="635"/>
            <wp:docPr id="88" name="Picture 88" descr="Figure 2:  The outcome and performance framework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226" cy="26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2B21" w14:textId="77777777" w:rsidR="00F34F5D" w:rsidRPr="00F34F5D" w:rsidRDefault="00F34F5D" w:rsidP="00F34F5D">
      <w:pPr>
        <w:rPr>
          <w:lang w:val="en-AU"/>
        </w:rPr>
      </w:pPr>
    </w:p>
    <w:p w14:paraId="6AA84801" w14:textId="25777C6A" w:rsidR="008B0574" w:rsidRPr="00B41F6E" w:rsidRDefault="00B41F6E" w:rsidP="000957F3">
      <w:pPr>
        <w:pStyle w:val="BodyText"/>
        <w:rPr>
          <w:b/>
        </w:rPr>
      </w:pPr>
      <w:r w:rsidRPr="00B41F6E">
        <w:t>The key components of the framework are</w:t>
      </w:r>
      <w:r>
        <w:t xml:space="preserve"> as follows</w:t>
      </w:r>
      <w:r w:rsidRPr="00B41F6E">
        <w:t>:</w:t>
      </w:r>
    </w:p>
    <w:p w14:paraId="54DF2CB2" w14:textId="2085C0C7" w:rsidR="008B0574" w:rsidRPr="008B0574" w:rsidRDefault="008B0574" w:rsidP="000957F3">
      <w:pPr>
        <w:pStyle w:val="Bullet1"/>
        <w:rPr>
          <w:b/>
        </w:rPr>
      </w:pPr>
      <w:r w:rsidRPr="00040604">
        <w:rPr>
          <w:b/>
        </w:rPr>
        <w:t>State Outcomes</w:t>
      </w:r>
      <w:r w:rsidRPr="008B0574">
        <w:t xml:space="preserve"> </w:t>
      </w:r>
      <w:r w:rsidR="00B41F6E">
        <w:t xml:space="preserve">which </w:t>
      </w:r>
      <w:r w:rsidRPr="008B0574">
        <w:t>articulate the primary purpose for which public resources are being spent, and the goals that Government is seeking to achieve for its citizens and businesses across all of its activities</w:t>
      </w:r>
    </w:p>
    <w:p w14:paraId="10C29CCE" w14:textId="00DA4BFC" w:rsidR="008B0574" w:rsidRPr="008B0574" w:rsidRDefault="004907FB" w:rsidP="000957F3">
      <w:pPr>
        <w:pStyle w:val="Bullet1"/>
        <w:rPr>
          <w:b/>
        </w:rPr>
      </w:pPr>
      <w:r>
        <w:t>e</w:t>
      </w:r>
      <w:r w:rsidR="008B0574" w:rsidRPr="008B0574">
        <w:t xml:space="preserve">ach State Outcome has associated </w:t>
      </w:r>
      <w:r w:rsidR="008B0574" w:rsidRPr="00DB45E2">
        <w:rPr>
          <w:b/>
        </w:rPr>
        <w:t>Outcome Indicators</w:t>
      </w:r>
      <w:r w:rsidR="008B0574" w:rsidRPr="008B0574">
        <w:t xml:space="preserve"> that </w:t>
      </w:r>
      <w:r w:rsidR="00ED182B">
        <w:t>measure</w:t>
      </w:r>
      <w:r w:rsidR="008B0574" w:rsidRPr="008B0574">
        <w:t xml:space="preserve"> progress in achieving these outcome</w:t>
      </w:r>
      <w:r>
        <w:t>s</w:t>
      </w:r>
    </w:p>
    <w:p w14:paraId="0E37D751" w14:textId="77777777" w:rsidR="00095825" w:rsidRDefault="004907FB" w:rsidP="000957F3">
      <w:pPr>
        <w:pStyle w:val="Bullet1"/>
        <w:rPr>
          <w:b/>
        </w:rPr>
      </w:pPr>
      <w:r>
        <w:t>d</w:t>
      </w:r>
      <w:r w:rsidR="008B0574" w:rsidRPr="008B0574">
        <w:t xml:space="preserve">elivery of each State Outcome is supported by </w:t>
      </w:r>
      <w:r w:rsidR="008B0574" w:rsidRPr="00DB45E2">
        <w:rPr>
          <w:b/>
        </w:rPr>
        <w:t>Programs</w:t>
      </w:r>
      <w:r w:rsidR="008B0574" w:rsidRPr="008B0574">
        <w:t xml:space="preserve"> that are a collection of Government activities, tasks, divisions or functions to deliver specific objectives towards the State Outcome</w:t>
      </w:r>
    </w:p>
    <w:p w14:paraId="16116691" w14:textId="77777777" w:rsidR="00000B77" w:rsidRPr="00B063DB" w:rsidRDefault="008B0574" w:rsidP="000957F3">
      <w:pPr>
        <w:pStyle w:val="Bullet1"/>
        <w:rPr>
          <w:b/>
        </w:rPr>
      </w:pPr>
      <w:r w:rsidRPr="000957F3">
        <w:rPr>
          <w:b/>
        </w:rPr>
        <w:t>Program Performance Measures</w:t>
      </w:r>
      <w:r w:rsidRPr="00095825">
        <w:t xml:space="preserve"> </w:t>
      </w:r>
      <w:r w:rsidR="00B41F6E" w:rsidRPr="00095825">
        <w:t xml:space="preserve">which </w:t>
      </w:r>
      <w:r w:rsidRPr="00095825">
        <w:t xml:space="preserve">measure performance of each Program and are </w:t>
      </w:r>
      <w:r w:rsidRPr="00B063DB">
        <w:t>used to assess efficiency, effectiveness and equity in delivering objectives</w:t>
      </w:r>
      <w:r w:rsidR="004907FB" w:rsidRPr="00B063DB">
        <w:t>.</w:t>
      </w:r>
      <w:r w:rsidR="00A4202C" w:rsidRPr="00B063DB">
        <w:t xml:space="preserve"> </w:t>
      </w:r>
    </w:p>
    <w:p w14:paraId="6B60E29F" w14:textId="58E5AF5D" w:rsidR="0052096A" w:rsidRDefault="0052096A" w:rsidP="000957F3">
      <w:pPr>
        <w:pStyle w:val="BodyText"/>
        <w:rPr>
          <w:b/>
        </w:rPr>
      </w:pPr>
      <w:r>
        <w:t xml:space="preserve">The framework enables </w:t>
      </w:r>
      <w:r w:rsidR="007C4F7E">
        <w:t xml:space="preserve">ongoing performance monitoring and assessment to </w:t>
      </w:r>
      <w:r w:rsidR="00F41D45">
        <w:t>ensure</w:t>
      </w:r>
      <w:r w:rsidR="009E03D4">
        <w:t xml:space="preserve"> </w:t>
      </w:r>
      <w:r w:rsidR="00AB41B3">
        <w:t xml:space="preserve">resources are </w:t>
      </w:r>
      <w:r w:rsidR="00B345A0">
        <w:t>well</w:t>
      </w:r>
      <w:r w:rsidR="00AB41B3">
        <w:t xml:space="preserve"> managed</w:t>
      </w:r>
      <w:r w:rsidR="008031EF">
        <w:t xml:space="preserve"> and targeted</w:t>
      </w:r>
      <w:r w:rsidR="00AB41B3">
        <w:t xml:space="preserve"> to deliver State Outcomes efficiently and </w:t>
      </w:r>
      <w:r w:rsidR="008031EF">
        <w:t>effectively</w:t>
      </w:r>
      <w:r w:rsidR="004314B2">
        <w:t xml:space="preserve">. </w:t>
      </w:r>
      <w:r>
        <w:t>It promotes consideration of total spend and an emphasis on performance.</w:t>
      </w:r>
    </w:p>
    <w:p w14:paraId="704ED465" w14:textId="68ABB4FA" w:rsidR="00637B53" w:rsidRDefault="007E51CE" w:rsidP="00F34F5D">
      <w:pPr>
        <w:pStyle w:val="Heading3"/>
        <w:ind w:right="-143"/>
      </w:pPr>
      <w:r>
        <w:t>Advancement of</w:t>
      </w:r>
      <w:r w:rsidR="00637B53">
        <w:t xml:space="preserve"> Outcome Budgeting</w:t>
      </w:r>
      <w:r>
        <w:t xml:space="preserve"> implementation and</w:t>
      </w:r>
      <w:r w:rsidR="00637B53">
        <w:t xml:space="preserve"> reporting for</w:t>
      </w:r>
      <w:r w:rsidR="00637B53">
        <w:rPr>
          <w:spacing w:val="-15"/>
        </w:rPr>
        <w:t xml:space="preserve"> </w:t>
      </w:r>
      <w:r w:rsidR="00637B53">
        <w:t>2020</w:t>
      </w:r>
      <w:r w:rsidR="00953860">
        <w:noBreakHyphen/>
      </w:r>
      <w:r w:rsidR="00637B53">
        <w:t>21</w:t>
      </w:r>
    </w:p>
    <w:p w14:paraId="147C4D45" w14:textId="3BF68111" w:rsidR="00665B9E" w:rsidRDefault="00665B9E" w:rsidP="000957F3">
      <w:pPr>
        <w:pStyle w:val="BodyText"/>
      </w:pPr>
      <w:r>
        <w:t xml:space="preserve">Following the 2019-20 Budget, in the </w:t>
      </w:r>
      <w:r w:rsidRPr="000957F3">
        <w:t>context</w:t>
      </w:r>
      <w:r>
        <w:t xml:space="preserve"> of machinery of government changes and recent events, the NSW Government </w:t>
      </w:r>
      <w:r w:rsidR="005F07A6">
        <w:t>further</w:t>
      </w:r>
      <w:r w:rsidR="003F5F29">
        <w:t xml:space="preserve"> </w:t>
      </w:r>
      <w:r>
        <w:t xml:space="preserve">reviewed and refined priorities </w:t>
      </w:r>
      <w:r w:rsidR="002F2812">
        <w:t xml:space="preserve">and </w:t>
      </w:r>
      <w:r>
        <w:t>agree</w:t>
      </w:r>
      <w:r w:rsidR="003F5F29">
        <w:t>d to</w:t>
      </w:r>
      <w:r>
        <w:t xml:space="preserve"> a set of 37 State Outcomes</w:t>
      </w:r>
      <w:r w:rsidR="003F5F29">
        <w:t xml:space="preserve"> across the nine </w:t>
      </w:r>
      <w:r w:rsidR="004152E6">
        <w:t>C</w:t>
      </w:r>
      <w:r w:rsidR="003F5F29">
        <w:t>lusters</w:t>
      </w:r>
      <w:r>
        <w:t>.</w:t>
      </w:r>
    </w:p>
    <w:p w14:paraId="36ED32AE" w14:textId="0DE00776" w:rsidR="00DE4633" w:rsidRDefault="00445DEE" w:rsidP="000957F3">
      <w:pPr>
        <w:pStyle w:val="BodyText"/>
      </w:pPr>
      <w:r>
        <w:t>The 2020-21</w:t>
      </w:r>
      <w:r w:rsidRPr="00A56D0C">
        <w:t xml:space="preserve"> </w:t>
      </w:r>
      <w:r>
        <w:t>Budget</w:t>
      </w:r>
      <w:r w:rsidRPr="00A56D0C">
        <w:t xml:space="preserve"> represents a significant milestone in the </w:t>
      </w:r>
      <w:r>
        <w:t xml:space="preserve">implementation </w:t>
      </w:r>
      <w:r w:rsidRPr="00A56D0C">
        <w:t>of Outcome Budgeting in N</w:t>
      </w:r>
      <w:r>
        <w:t xml:space="preserve">ew </w:t>
      </w:r>
      <w:r w:rsidRPr="00A56D0C">
        <w:t>S</w:t>
      </w:r>
      <w:r>
        <w:t xml:space="preserve">outh </w:t>
      </w:r>
      <w:r w:rsidRPr="00A56D0C">
        <w:t>W</w:t>
      </w:r>
      <w:r>
        <w:t>ales</w:t>
      </w:r>
      <w:r w:rsidRPr="00A56D0C">
        <w:t xml:space="preserve">. </w:t>
      </w:r>
      <w:r>
        <w:t>A</w:t>
      </w:r>
      <w:r w:rsidR="00665B9E">
        <w:t xml:space="preserve">ll </w:t>
      </w:r>
      <w:r w:rsidR="004152E6">
        <w:t>C</w:t>
      </w:r>
      <w:r w:rsidR="00665B9E">
        <w:t>lusters have developed Outcome and Business Plans</w:t>
      </w:r>
      <w:r>
        <w:t xml:space="preserve"> to support the delivery of State Outcomes</w:t>
      </w:r>
      <w:r w:rsidR="00665B9E">
        <w:t xml:space="preserve">. These Plans </w:t>
      </w:r>
      <w:r w:rsidR="009D117E">
        <w:t xml:space="preserve">outline </w:t>
      </w:r>
      <w:r w:rsidR="00665B9E">
        <w:t xml:space="preserve">how Outcomes will be delivered and how performance will be measured and managed within each </w:t>
      </w:r>
      <w:r w:rsidR="004152E6">
        <w:t>Cl</w:t>
      </w:r>
      <w:r w:rsidR="00665B9E">
        <w:t xml:space="preserve">uster. </w:t>
      </w:r>
      <w:r w:rsidR="00FA63C3">
        <w:t xml:space="preserve">It creates a shared vision within the </w:t>
      </w:r>
      <w:r w:rsidR="004152E6">
        <w:t>C</w:t>
      </w:r>
      <w:r w:rsidR="00FA63C3">
        <w:t>luster, from its Secretary to front-line staff about purpose and performance; it informs Government’s strategic allocation of public resources and budget-decision making processes.</w:t>
      </w:r>
      <w:r w:rsidR="000B2B34">
        <w:t xml:space="preserve"> </w:t>
      </w:r>
    </w:p>
    <w:p w14:paraId="526505DF" w14:textId="47F7DA4B" w:rsidR="00A83CA4" w:rsidRDefault="004C5316" w:rsidP="000957F3">
      <w:pPr>
        <w:pStyle w:val="BodyText"/>
      </w:pPr>
      <w:r>
        <w:lastRenderedPageBreak/>
        <w:t>Outcome and Business Plans</w:t>
      </w:r>
      <w:r w:rsidR="00665B9E">
        <w:t xml:space="preserve"> </w:t>
      </w:r>
      <w:r w:rsidR="00085E9E">
        <w:t>will be regularly updated an</w:t>
      </w:r>
      <w:r w:rsidR="00665B9E">
        <w:t xml:space="preserve">d </w:t>
      </w:r>
      <w:r w:rsidR="00514334">
        <w:t xml:space="preserve">reviewed </w:t>
      </w:r>
      <w:r w:rsidR="00665B9E">
        <w:t xml:space="preserve">to inform ongoing planning and management across the suite of State Outcomes. </w:t>
      </w:r>
      <w:r w:rsidR="0094005B">
        <w:t xml:space="preserve">This </w:t>
      </w:r>
      <w:r w:rsidR="00085E9E">
        <w:t xml:space="preserve">includes </w:t>
      </w:r>
      <w:r w:rsidR="00AE7F60">
        <w:t xml:space="preserve">a </w:t>
      </w:r>
      <w:r w:rsidR="00085E9E">
        <w:t xml:space="preserve">continued focus on improving </w:t>
      </w:r>
      <w:r w:rsidR="009A6A7C">
        <w:t xml:space="preserve">performance </w:t>
      </w:r>
      <w:r w:rsidR="00085E9E">
        <w:t>measurement</w:t>
      </w:r>
      <w:r w:rsidR="00E442FC">
        <w:t xml:space="preserve">, </w:t>
      </w:r>
      <w:r w:rsidR="00AE7F60">
        <w:t xml:space="preserve">ensuring all </w:t>
      </w:r>
      <w:r w:rsidR="00570107">
        <w:t>O</w:t>
      </w:r>
      <w:r w:rsidR="00AE7F60">
        <w:t xml:space="preserve">utcome </w:t>
      </w:r>
      <w:r w:rsidR="00570107">
        <w:t>I</w:t>
      </w:r>
      <w:r w:rsidR="00AE7F60">
        <w:t xml:space="preserve">ndicators have performance targets </w:t>
      </w:r>
      <w:r w:rsidR="00E442FC">
        <w:t>and review</w:t>
      </w:r>
      <w:r w:rsidR="00C4795A">
        <w:t>ing</w:t>
      </w:r>
      <w:r w:rsidR="00E442FC">
        <w:t xml:space="preserve"> and refin</w:t>
      </w:r>
      <w:r w:rsidR="00C4795A">
        <w:t>ing</w:t>
      </w:r>
      <w:r w:rsidR="00E442FC">
        <w:t xml:space="preserve"> Programs and Program </w:t>
      </w:r>
      <w:r w:rsidR="00085E9E">
        <w:t>P</w:t>
      </w:r>
      <w:r w:rsidR="00E442FC">
        <w:t xml:space="preserve">erformance </w:t>
      </w:r>
      <w:r w:rsidR="00085E9E">
        <w:t>M</w:t>
      </w:r>
      <w:r w:rsidR="00E442FC">
        <w:t xml:space="preserve">easures. </w:t>
      </w:r>
    </w:p>
    <w:p w14:paraId="5CD8869E" w14:textId="7E01B522" w:rsidR="00665B9E" w:rsidRDefault="00665B9E" w:rsidP="000957F3">
      <w:pPr>
        <w:pStyle w:val="BodyText"/>
      </w:pPr>
      <w:r>
        <w:t xml:space="preserve">Additional performance information on </w:t>
      </w:r>
      <w:r w:rsidR="004152E6">
        <w:t>C</w:t>
      </w:r>
      <w:r>
        <w:t xml:space="preserve">lusters and agencies continues to be reported across a range of other sources such as agency website, annual reports and the Productivity Commission’s </w:t>
      </w:r>
      <w:r w:rsidRPr="00404191">
        <w:rPr>
          <w:i/>
          <w:iCs/>
        </w:rPr>
        <w:t>Report on Government Services</w:t>
      </w:r>
      <w:r>
        <w:t xml:space="preserve">. </w:t>
      </w:r>
    </w:p>
    <w:p w14:paraId="385D49B9" w14:textId="49457D0B" w:rsidR="00D71F4C" w:rsidRDefault="0092390A" w:rsidP="00953860">
      <w:pPr>
        <w:pStyle w:val="Heading2"/>
      </w:pPr>
      <w:r>
        <w:t xml:space="preserve">Delivery of </w:t>
      </w:r>
      <w:r w:rsidR="00D71F4C">
        <w:t xml:space="preserve">State Outcomes </w:t>
      </w:r>
    </w:p>
    <w:p w14:paraId="7715456A" w14:textId="0EFBBC50" w:rsidR="00872163" w:rsidRDefault="00166426" w:rsidP="000957F3">
      <w:pPr>
        <w:pStyle w:val="BodyText"/>
      </w:pPr>
      <w:r>
        <w:t xml:space="preserve">The 37 agreed </w:t>
      </w:r>
      <w:r w:rsidR="00D71F4C">
        <w:t xml:space="preserve">State Outcomes are aligned with, and complement, </w:t>
      </w:r>
      <w:r w:rsidR="00783AC8">
        <w:t xml:space="preserve">the </w:t>
      </w:r>
      <w:r w:rsidR="00D71F4C">
        <w:t xml:space="preserve">Premier’s </w:t>
      </w:r>
      <w:r w:rsidR="00783AC8">
        <w:t xml:space="preserve">14 </w:t>
      </w:r>
      <w:r w:rsidR="00D71F4C">
        <w:t xml:space="preserve">Priorities (each Priority metric is included as an Outcome Indicator under the relevant State Outcome). </w:t>
      </w:r>
    </w:p>
    <w:p w14:paraId="7F74E19A" w14:textId="12372014" w:rsidR="00D71F4C" w:rsidRDefault="00D71F4C" w:rsidP="000957F3">
      <w:pPr>
        <w:pStyle w:val="BodyText"/>
      </w:pPr>
      <w:r>
        <w:t>Clusters are reporting a high level of delivery against these State Outcomes</w:t>
      </w:r>
      <w:r w:rsidR="00050E79">
        <w:t xml:space="preserve"> </w:t>
      </w:r>
      <w:r>
        <w:t xml:space="preserve">relative to the significant challenges to service demand and service delivery as a result of recent natural disasters and current pandemic. </w:t>
      </w:r>
    </w:p>
    <w:p w14:paraId="41FFD066" w14:textId="52F5A585" w:rsidR="00D71F4C" w:rsidRDefault="00D71F4C" w:rsidP="000957F3">
      <w:pPr>
        <w:pStyle w:val="BodyText"/>
      </w:pPr>
      <w:r w:rsidRPr="0092390A">
        <w:t>These challenges</w:t>
      </w:r>
      <w:r w:rsidR="4CDE6EB8" w:rsidRPr="0092390A">
        <w:t xml:space="preserve">, including drought, bushfires and COVID-19, </w:t>
      </w:r>
      <w:r w:rsidRPr="0092390A">
        <w:t>have had far-reaching impacts across the suite of State Outcomes and have required significant ongoing management and resources to address.</w:t>
      </w:r>
      <w:r>
        <w:t xml:space="preserve"> </w:t>
      </w:r>
    </w:p>
    <w:p w14:paraId="5EBFCEFE" w14:textId="5F20E2B5" w:rsidR="003760D4" w:rsidRDefault="00D71F4C" w:rsidP="000957F3">
      <w:pPr>
        <w:pStyle w:val="BodyText"/>
      </w:pPr>
      <w:r>
        <w:t xml:space="preserve">While there have been adverse impacts to several </w:t>
      </w:r>
      <w:r w:rsidR="0080456A">
        <w:t>performance indicators</w:t>
      </w:r>
      <w:r w:rsidR="00804AA7">
        <w:t xml:space="preserve"> </w:t>
      </w:r>
      <w:r w:rsidR="007F133A">
        <w:t>for State Outcomes</w:t>
      </w:r>
      <w:r>
        <w:t xml:space="preserve"> as a result, there have also been significant opportunities to implement innovation and reform. These have been demonstrated through a step change in service delivery across the public sector including implementation of digital innovation in areas such as customer service, health and transport. </w:t>
      </w:r>
    </w:p>
    <w:p w14:paraId="664A7D24" w14:textId="393C12B0" w:rsidR="00637B53" w:rsidRPr="00953860" w:rsidRDefault="00637B53" w:rsidP="00953860">
      <w:pPr>
        <w:pStyle w:val="Heading2"/>
      </w:pPr>
      <w:r>
        <w:t>Cluster arrangements</w:t>
      </w:r>
    </w:p>
    <w:p w14:paraId="25F46F33" w14:textId="5C4B7932" w:rsidR="00B011BB" w:rsidRPr="00114CA4" w:rsidRDefault="00B011BB" w:rsidP="00953860">
      <w:pPr>
        <w:pStyle w:val="BodyText"/>
        <w:rPr>
          <w:i/>
        </w:rPr>
      </w:pPr>
      <w:r w:rsidRPr="00114CA4">
        <w:t xml:space="preserve">Clusters are groups of entities with shared or related policy goals. The </w:t>
      </w:r>
      <w:r w:rsidR="004152E6">
        <w:t>C</w:t>
      </w:r>
      <w:r w:rsidRPr="00114CA4">
        <w:t>luster arrangement aims to improve government services and outcomes for the community by</w:t>
      </w:r>
      <w:r w:rsidRPr="00114CA4">
        <w:rPr>
          <w:i/>
        </w:rPr>
        <w:t>:</w:t>
      </w:r>
    </w:p>
    <w:p w14:paraId="2D5AC42E" w14:textId="77777777" w:rsidR="00B011BB" w:rsidRPr="00114CA4" w:rsidRDefault="00B011BB" w:rsidP="00953860">
      <w:pPr>
        <w:pStyle w:val="Bullet1"/>
        <w:rPr>
          <w:rFonts w:ascii="Symbol" w:hAnsi="Symbol"/>
        </w:rPr>
      </w:pPr>
      <w:r w:rsidRPr="00114CA4">
        <w:t>pursuing common objectives across</w:t>
      </w:r>
      <w:r w:rsidRPr="00114CA4">
        <w:rPr>
          <w:spacing w:val="-7"/>
        </w:rPr>
        <w:t xml:space="preserve"> </w:t>
      </w:r>
      <w:r w:rsidRPr="00114CA4">
        <w:t>agencies</w:t>
      </w:r>
    </w:p>
    <w:p w14:paraId="0E24EB96" w14:textId="77777777" w:rsidR="00B011BB" w:rsidRPr="00114CA4" w:rsidRDefault="00B011BB" w:rsidP="00953860">
      <w:pPr>
        <w:pStyle w:val="Bullet1"/>
        <w:rPr>
          <w:rFonts w:ascii="Symbol" w:hAnsi="Symbol"/>
        </w:rPr>
      </w:pPr>
      <w:r w:rsidRPr="00114CA4">
        <w:t>better integrating</w:t>
      </w:r>
      <w:r w:rsidRPr="00114CA4">
        <w:rPr>
          <w:spacing w:val="-4"/>
        </w:rPr>
        <w:t xml:space="preserve"> </w:t>
      </w:r>
      <w:r w:rsidRPr="00114CA4">
        <w:t>services</w:t>
      </w:r>
    </w:p>
    <w:p w14:paraId="396E88EC" w14:textId="77777777" w:rsidR="00B011BB" w:rsidRPr="00114CA4" w:rsidRDefault="00B011BB" w:rsidP="00953860">
      <w:pPr>
        <w:pStyle w:val="Bullet1"/>
        <w:rPr>
          <w:rFonts w:ascii="Symbol" w:hAnsi="Symbol"/>
        </w:rPr>
      </w:pPr>
      <w:r w:rsidRPr="00114CA4">
        <w:t>helping to allocate resources between</w:t>
      </w:r>
      <w:r w:rsidRPr="00114CA4">
        <w:rPr>
          <w:spacing w:val="-3"/>
        </w:rPr>
        <w:t xml:space="preserve"> </w:t>
      </w:r>
      <w:r w:rsidRPr="00114CA4">
        <w:t>areas.</w:t>
      </w:r>
    </w:p>
    <w:p w14:paraId="60879EBF" w14:textId="5302456D" w:rsidR="00B011BB" w:rsidRDefault="00B011BB" w:rsidP="000957F3">
      <w:pPr>
        <w:pStyle w:val="BodyText"/>
      </w:pPr>
      <w:r w:rsidRPr="00114CA4">
        <w:t xml:space="preserve">A </w:t>
      </w:r>
      <w:r w:rsidR="00152E79">
        <w:t>C</w:t>
      </w:r>
      <w:r w:rsidRPr="00114CA4">
        <w:t>luster is not a legal or reporting entity.</w:t>
      </w:r>
      <w:r>
        <w:t xml:space="preserve"> </w:t>
      </w:r>
    </w:p>
    <w:p w14:paraId="4BA7A238" w14:textId="2B8FA6F0" w:rsidR="00637B53" w:rsidRDefault="00637B53" w:rsidP="00953860">
      <w:pPr>
        <w:pStyle w:val="Heading3"/>
      </w:pPr>
      <w:r>
        <w:t xml:space="preserve">Changes to </w:t>
      </w:r>
      <w:r w:rsidR="00152E79">
        <w:t>C</w:t>
      </w:r>
      <w:r>
        <w:t>luster arrangements</w:t>
      </w:r>
    </w:p>
    <w:p w14:paraId="1A1A8E9C" w14:textId="74F688B1" w:rsidR="004953DF" w:rsidRDefault="004953DF" w:rsidP="000957F3">
      <w:pPr>
        <w:pStyle w:val="BodyText"/>
      </w:pPr>
      <w:r>
        <w:t xml:space="preserve">In </w:t>
      </w:r>
      <w:r w:rsidRPr="00114CA4">
        <w:t>April 2020, the</w:t>
      </w:r>
      <w:r w:rsidRPr="00114CA4">
        <w:rPr>
          <w:spacing w:val="-11"/>
        </w:rPr>
        <w:t xml:space="preserve"> </w:t>
      </w:r>
      <w:r w:rsidRPr="00114CA4">
        <w:t xml:space="preserve">Government announced the establishment of </w:t>
      </w:r>
      <w:r w:rsidRPr="00114CA4" w:rsidDel="00AD64E9">
        <w:t>the</w:t>
      </w:r>
      <w:r w:rsidRPr="00114CA4">
        <w:t xml:space="preserve"> Regional NSW </w:t>
      </w:r>
      <w:r w:rsidR="004152E6">
        <w:t>C</w:t>
      </w:r>
      <w:r w:rsidRPr="00114CA4">
        <w:t xml:space="preserve">luster to provide a continued focus on delivering great opportunities and quality of life for all citizens, no matter where they live or their circumstance. There are currently nine </w:t>
      </w:r>
      <w:r w:rsidR="004152E6">
        <w:t>C</w:t>
      </w:r>
      <w:r w:rsidRPr="00114CA4">
        <w:t>lusters delivering the work of the Government as outlined</w:t>
      </w:r>
      <w:r>
        <w:t xml:space="preserve"> below in Figure </w:t>
      </w:r>
      <w:r w:rsidR="00F716DE">
        <w:t>3</w:t>
      </w:r>
      <w:r>
        <w:t>.</w:t>
      </w:r>
    </w:p>
    <w:p w14:paraId="07DDBE62" w14:textId="212516EE" w:rsidR="004953DF" w:rsidRDefault="004953DF" w:rsidP="000957F3">
      <w:pPr>
        <w:pStyle w:val="BodyText"/>
      </w:pPr>
      <w:r>
        <w:t xml:space="preserve">Details on machinery of government changes at the agency level, including information on Administrative Arrangement Orders, can be found in Budget </w:t>
      </w:r>
      <w:r w:rsidRPr="002C2530">
        <w:t xml:space="preserve">Paper </w:t>
      </w:r>
      <w:r w:rsidR="002C2530" w:rsidRPr="002C2530">
        <w:t>4</w:t>
      </w:r>
      <w:r w:rsidRPr="002C2530">
        <w:t xml:space="preserve">: </w:t>
      </w:r>
      <w:r w:rsidRPr="002C2530">
        <w:rPr>
          <w:i/>
          <w:iCs/>
        </w:rPr>
        <w:t>Agency Financial Statements</w:t>
      </w:r>
      <w:r w:rsidRPr="002C2530">
        <w:t>.</w:t>
      </w:r>
    </w:p>
    <w:p w14:paraId="26ED5B90" w14:textId="7ADE7881" w:rsidR="00ED182B" w:rsidRDefault="00ED182B" w:rsidP="000957F3">
      <w:pPr>
        <w:pStyle w:val="BodyText"/>
      </w:pPr>
    </w:p>
    <w:p w14:paraId="43C1DADC" w14:textId="7EF5F645" w:rsidR="00ED182B" w:rsidRDefault="00ED182B" w:rsidP="000957F3">
      <w:pPr>
        <w:pStyle w:val="BodyText"/>
      </w:pPr>
    </w:p>
    <w:p w14:paraId="3CF5B8CA" w14:textId="39BF03CF" w:rsidR="00ED182B" w:rsidRDefault="00ED182B" w:rsidP="000957F3">
      <w:pPr>
        <w:pStyle w:val="BodyText"/>
      </w:pPr>
    </w:p>
    <w:p w14:paraId="700201A6" w14:textId="77777777" w:rsidR="00ED182B" w:rsidRDefault="00ED182B" w:rsidP="000957F3">
      <w:pPr>
        <w:pStyle w:val="BodyText"/>
      </w:pPr>
    </w:p>
    <w:p w14:paraId="36F47474" w14:textId="23BDBA9E" w:rsidR="00C96AB1" w:rsidRDefault="008D4AB2" w:rsidP="002D2C94">
      <w:pPr>
        <w:tabs>
          <w:tab w:val="left" w:pos="1134"/>
          <w:tab w:val="left" w:pos="1492"/>
        </w:tabs>
        <w:spacing w:before="93"/>
        <w:rPr>
          <w:i/>
          <w:color w:val="4F4F4F"/>
          <w:sz w:val="23"/>
        </w:rPr>
      </w:pPr>
      <w:r>
        <w:rPr>
          <w:i/>
          <w:color w:val="4F4F4F"/>
          <w:sz w:val="23"/>
        </w:rPr>
        <w:lastRenderedPageBreak/>
        <w:t>Figure</w:t>
      </w:r>
      <w:r>
        <w:rPr>
          <w:i/>
          <w:color w:val="4F4F4F"/>
          <w:spacing w:val="-2"/>
          <w:sz w:val="23"/>
        </w:rPr>
        <w:t xml:space="preserve"> </w:t>
      </w:r>
      <w:r w:rsidR="008F7F26">
        <w:rPr>
          <w:i/>
          <w:color w:val="4F4F4F"/>
          <w:spacing w:val="-2"/>
          <w:sz w:val="23"/>
        </w:rPr>
        <w:t>3</w:t>
      </w:r>
      <w:r>
        <w:rPr>
          <w:i/>
          <w:color w:val="4F4F4F"/>
          <w:sz w:val="23"/>
        </w:rPr>
        <w:t>:</w:t>
      </w:r>
      <w:r w:rsidR="00DA650B">
        <w:rPr>
          <w:i/>
          <w:color w:val="4F4F4F"/>
          <w:sz w:val="23"/>
        </w:rPr>
        <w:t xml:space="preserve"> </w:t>
      </w:r>
      <w:r w:rsidR="002D2C94">
        <w:rPr>
          <w:i/>
          <w:color w:val="4F4F4F"/>
          <w:sz w:val="23"/>
        </w:rPr>
        <w:tab/>
      </w:r>
      <w:r>
        <w:rPr>
          <w:i/>
          <w:color w:val="4F4F4F"/>
          <w:sz w:val="23"/>
        </w:rPr>
        <w:t xml:space="preserve">The Government </w:t>
      </w:r>
      <w:r w:rsidR="004152E6">
        <w:rPr>
          <w:i/>
          <w:color w:val="4F4F4F"/>
          <w:sz w:val="23"/>
        </w:rPr>
        <w:t>C</w:t>
      </w:r>
      <w:r>
        <w:rPr>
          <w:i/>
          <w:color w:val="4F4F4F"/>
          <w:sz w:val="23"/>
        </w:rPr>
        <w:t xml:space="preserve">lusters </w:t>
      </w:r>
      <w:r w:rsidR="00C96AB1">
        <w:rPr>
          <w:i/>
          <w:color w:val="4F4F4F"/>
          <w:sz w:val="23"/>
        </w:rPr>
        <w:t xml:space="preserve">and the 37 State Outcomes </w:t>
      </w:r>
    </w:p>
    <w:p w14:paraId="6153E772" w14:textId="77777777" w:rsidR="003C04CA" w:rsidRDefault="003C04CA" w:rsidP="005F1F4C">
      <w:pPr>
        <w:tabs>
          <w:tab w:val="left" w:pos="1492"/>
        </w:tabs>
        <w:spacing w:before="93"/>
        <w:ind w:left="-284"/>
        <w:rPr>
          <w:i/>
          <w:sz w:val="23"/>
        </w:rPr>
      </w:pPr>
    </w:p>
    <w:tbl>
      <w:tblPr>
        <w:tblW w:w="5000" w:type="pct"/>
        <w:tblLook w:val="04A0" w:firstRow="1" w:lastRow="0" w:firstColumn="1" w:lastColumn="0" w:noHBand="0" w:noVBand="1"/>
        <w:tblCaption w:val="Figure 3:  The Government Clusters and the 37 State Outcomes "/>
      </w:tblPr>
      <w:tblGrid>
        <w:gridCol w:w="2824"/>
        <w:gridCol w:w="293"/>
        <w:gridCol w:w="3115"/>
        <w:gridCol w:w="293"/>
        <w:gridCol w:w="3113"/>
      </w:tblGrid>
      <w:tr w:rsidR="00CF2892" w:rsidRPr="00985F1C" w14:paraId="6B6C2467" w14:textId="77777777" w:rsidTr="5019E4D4">
        <w:trPr>
          <w:trHeight w:val="509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7C0D0828" w14:textId="77777777" w:rsidR="00985F1C" w:rsidRPr="00B41F6E" w:rsidRDefault="00985F1C" w:rsidP="00B7220E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41F6E">
              <w:rPr>
                <w:b/>
                <w:bCs/>
                <w:sz w:val="24"/>
                <w:szCs w:val="24"/>
              </w:rPr>
              <w:t>Customer Service</w:t>
            </w:r>
          </w:p>
        </w:tc>
        <w:tc>
          <w:tcPr>
            <w:tcW w:w="1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AFED0A2" w14:textId="77777777" w:rsidR="00985F1C" w:rsidRPr="00985F1C" w:rsidRDefault="00985F1C" w:rsidP="00985F1C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985F1C"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3C96921F" w14:textId="77777777" w:rsidR="00985F1C" w:rsidRPr="00B41F6E" w:rsidRDefault="00985F1C" w:rsidP="00985F1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41F6E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5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7707CBC" w14:textId="77777777" w:rsidR="00985F1C" w:rsidRPr="00985F1C" w:rsidRDefault="00985F1C" w:rsidP="00985F1C">
            <w:pPr>
              <w:widowControl/>
              <w:autoSpaceDE/>
              <w:autoSpaceDN/>
              <w:rPr>
                <w:b/>
                <w:bCs/>
                <w:color w:val="002563"/>
                <w:sz w:val="24"/>
                <w:szCs w:val="24"/>
              </w:rPr>
            </w:pPr>
            <w:r w:rsidRPr="00985F1C">
              <w:rPr>
                <w:b/>
                <w:bCs/>
                <w:color w:val="002563"/>
                <w:sz w:val="24"/>
                <w:szCs w:val="24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316E3175" w14:textId="77777777" w:rsidR="00985F1C" w:rsidRPr="00B41F6E" w:rsidRDefault="00985F1C" w:rsidP="00985F1C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B41F6E">
              <w:rPr>
                <w:b/>
                <w:bCs/>
                <w:sz w:val="24"/>
                <w:szCs w:val="24"/>
              </w:rPr>
              <w:t>Health</w:t>
            </w:r>
          </w:p>
        </w:tc>
        <w:bookmarkStart w:id="0" w:name="_GoBack"/>
        <w:bookmarkEnd w:id="0"/>
      </w:tr>
      <w:tr w:rsidR="002D30DD" w:rsidRPr="00985F1C" w14:paraId="16BD914B" w14:textId="77777777" w:rsidTr="5019E4D4">
        <w:trPr>
          <w:trHeight w:val="1679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BD6786" w14:textId="774C08A4" w:rsidR="00985F1C" w:rsidRPr="00B41F6E" w:rsidRDefault="005D6584" w:rsidP="00B7220E">
            <w:pPr>
              <w:widowControl/>
              <w:autoSpaceDE/>
              <w:autoSpaceDN/>
              <w:jc w:val="center"/>
              <w:rPr>
                <w:sz w:val="21"/>
              </w:rPr>
            </w:pPr>
            <w:r w:rsidRPr="00B41F6E">
              <w:rPr>
                <w:sz w:val="21"/>
              </w:rPr>
              <w:t xml:space="preserve">Plans, prioritises, funds and drives digital transformation and customer service across every </w:t>
            </w:r>
            <w:r>
              <w:rPr>
                <w:sz w:val="21"/>
              </w:rPr>
              <w:t>C</w:t>
            </w:r>
            <w:r w:rsidRPr="00B41F6E">
              <w:rPr>
                <w:sz w:val="21"/>
              </w:rPr>
              <w:t>luster in the NSW Government.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3394CEF" w14:textId="77777777" w:rsidR="00985F1C" w:rsidRPr="00985F1C" w:rsidRDefault="00985F1C" w:rsidP="00985F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8492AB7" w14:textId="56ADEEB4" w:rsidR="00985F1C" w:rsidRPr="00985F1C" w:rsidRDefault="006D733E" w:rsidP="00985F1C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1"/>
                <w:szCs w:val="21"/>
                <w:lang w:val="en-AU" w:eastAsia="en-AU"/>
              </w:rPr>
            </w:pPr>
            <w:r w:rsidRPr="00997739">
              <w:rPr>
                <w:sz w:val="21"/>
              </w:rPr>
              <w:t>D</w:t>
            </w:r>
            <w:r w:rsidR="00985F1C" w:rsidRPr="00997739">
              <w:rPr>
                <w:sz w:val="21"/>
              </w:rPr>
              <w:t>rives early childhood</w:t>
            </w:r>
            <w:r w:rsidR="00100F76">
              <w:rPr>
                <w:sz w:val="21"/>
              </w:rPr>
              <w:t xml:space="preserve"> education and care sector, government and non-government schools, and the vocational education and training sector.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F889AA" w14:textId="77777777" w:rsidR="00985F1C" w:rsidRPr="00985F1C" w:rsidRDefault="00985F1C" w:rsidP="00985F1C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C64121" w14:textId="56DBAA22" w:rsidR="00985F1C" w:rsidRPr="00985F1C" w:rsidRDefault="00CF44FB" w:rsidP="00985F1C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1"/>
                <w:szCs w:val="21"/>
                <w:lang w:val="en-AU" w:eastAsia="en-AU"/>
              </w:rPr>
            </w:pPr>
            <w:r>
              <w:rPr>
                <w:sz w:val="21"/>
              </w:rPr>
              <w:t xml:space="preserve">Works to protect, maintain and improve the health and wellbeing of residents in        </w:t>
            </w:r>
            <w:r w:rsidR="0013131F">
              <w:rPr>
                <w:sz w:val="21"/>
              </w:rPr>
              <w:t>NSW.</w:t>
            </w:r>
          </w:p>
        </w:tc>
      </w:tr>
      <w:tr w:rsidR="00EE323C" w:rsidRPr="00985F1C" w14:paraId="5FCD108B" w14:textId="77777777" w:rsidTr="5019E4D4">
        <w:trPr>
          <w:trHeight w:val="64"/>
        </w:trPr>
        <w:tc>
          <w:tcPr>
            <w:tcW w:w="146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93F46E" w14:textId="77777777" w:rsidR="00EE323C" w:rsidRPr="00B7220E" w:rsidRDefault="00EE323C" w:rsidP="00B7220E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9150FD3" w14:textId="77777777" w:rsidR="00EE323C" w:rsidRPr="00985F1C" w:rsidRDefault="00EE323C" w:rsidP="00985F1C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80D1920" w14:textId="77777777" w:rsidR="00EE323C" w:rsidRPr="00985F1C" w:rsidRDefault="00EE323C" w:rsidP="00985F1C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989A3AF" w14:textId="77777777" w:rsidR="00EE323C" w:rsidRPr="00985F1C" w:rsidRDefault="00EE323C" w:rsidP="00985F1C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0596037" w14:textId="77777777" w:rsidR="00EE323C" w:rsidRPr="00985F1C" w:rsidRDefault="00EE323C" w:rsidP="00985F1C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997739" w:rsidRPr="00985F1C" w14:paraId="5C73182F" w14:textId="77777777" w:rsidTr="5019E4D4">
        <w:trPr>
          <w:trHeight w:val="64"/>
        </w:trPr>
        <w:tc>
          <w:tcPr>
            <w:tcW w:w="146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017B98EE" w14:textId="5D719271" w:rsidR="00997739" w:rsidRPr="00B7220E" w:rsidRDefault="00997739" w:rsidP="00997739">
            <w:pPr>
              <w:widowControl/>
              <w:autoSpaceDE/>
              <w:autoSpaceDN/>
              <w:rPr>
                <w:rFonts w:eastAsia="Times New Roman"/>
                <w:b/>
                <w:bCs/>
                <w:i/>
                <w:iCs/>
                <w:color w:val="000000"/>
                <w:sz w:val="21"/>
                <w:szCs w:val="21"/>
                <w:lang w:val="en-AU" w:eastAsia="en-AU"/>
              </w:rPr>
            </w:pPr>
            <w:r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DA69C27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BC17F20" w14:textId="04FE206F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4936D6DA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7DD3625" w14:textId="1063C01B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</w:tr>
      <w:tr w:rsidR="002D30DD" w:rsidRPr="00985F1C" w14:paraId="5DBE455E" w14:textId="77777777" w:rsidTr="00CF44FB">
        <w:trPr>
          <w:trHeight w:val="624"/>
        </w:trPr>
        <w:tc>
          <w:tcPr>
            <w:tcW w:w="146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673AEBF" w14:textId="1B9A78F7" w:rsidR="00997739" w:rsidRPr="00985F1C" w:rsidRDefault="006F6BB1" w:rsidP="006F6BB1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Excellence in Customer Service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12" w:space="0" w:color="FFFFFF" w:themeColor="background1"/>
            </w:tcBorders>
            <w:shd w:val="clear" w:color="auto" w:fill="auto"/>
            <w:noWrap/>
            <w:hideMark/>
          </w:tcPr>
          <w:p w14:paraId="5F03AFE6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bottom w:val="single" w:sz="12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2B7FF494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Best start in life for young children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66D6AC6D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54A1C98F" w14:textId="39DAE5E6" w:rsidR="00997739" w:rsidRPr="00985F1C" w:rsidRDefault="00CF44FB" w:rsidP="00CF44FB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People receive high-quality, safe care in our hospital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s</w:t>
            </w:r>
          </w:p>
        </w:tc>
      </w:tr>
      <w:tr w:rsidR="00997739" w:rsidRPr="00985F1C" w14:paraId="35B858AF" w14:textId="77777777" w:rsidTr="006F6BB1">
        <w:trPr>
          <w:trHeight w:val="794"/>
        </w:trPr>
        <w:tc>
          <w:tcPr>
            <w:tcW w:w="146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7781FDB" w14:textId="275FA051" w:rsidR="006F6BB1" w:rsidRPr="00985F1C" w:rsidRDefault="00BC6B83" w:rsidP="006F6BB1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Digital leadership and innovation in government services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066B064E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2DD8779" w14:textId="77777777" w:rsidR="00997739" w:rsidRPr="00985F1C" w:rsidRDefault="00997739" w:rsidP="5019E4D4">
            <w:pPr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Educational foundations for success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17A2FC16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62AD8446" w14:textId="76412E6F" w:rsidR="00CF44FB" w:rsidRPr="00985F1C" w:rsidRDefault="00CF44FB" w:rsidP="00CF44FB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People can access care in out of hospital settings to manage their health and wellbeing</w:t>
            </w:r>
          </w:p>
        </w:tc>
      </w:tr>
      <w:tr w:rsidR="00997739" w:rsidRPr="00985F1C" w14:paraId="4E5B8D5F" w14:textId="77777777" w:rsidTr="00732F74">
        <w:trPr>
          <w:trHeight w:val="624"/>
        </w:trPr>
        <w:tc>
          <w:tcPr>
            <w:tcW w:w="146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C2EF096" w14:textId="215C5162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Fair, secure and efficient markets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2FD0A17B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1CFB03E" w14:textId="6E4D1659" w:rsidR="00997739" w:rsidRPr="00985F1C" w:rsidRDefault="00DD5EF1" w:rsidP="00DD5EF1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Skilled and employable workforce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47A91C14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3DA71849" w14:textId="0DAAC3BD" w:rsidR="00997739" w:rsidRPr="00985F1C" w:rsidRDefault="00CF44FB" w:rsidP="00CF44FB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People receive timely emergency care</w:t>
            </w:r>
          </w:p>
        </w:tc>
      </w:tr>
      <w:tr w:rsidR="00997739" w:rsidRPr="00985F1C" w14:paraId="6363F0F0" w14:textId="77777777" w:rsidTr="003F606C">
        <w:trPr>
          <w:trHeight w:val="850"/>
        </w:trPr>
        <w:tc>
          <w:tcPr>
            <w:tcW w:w="1465" w:type="pct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294B6216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4BFEA109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274B535" w14:textId="27C1F274" w:rsidR="00B666A5" w:rsidRPr="00985F1C" w:rsidRDefault="00B666A5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High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-q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uality standards for schooling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52586B0C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50F9F6D" w14:textId="559DF337" w:rsidR="00CF44FB" w:rsidRPr="00985F1C" w:rsidRDefault="00CF44FB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Keeping people healthy through prevention and health promotion</w:t>
            </w:r>
          </w:p>
        </w:tc>
      </w:tr>
      <w:tr w:rsidR="00997739" w:rsidRPr="00985F1C" w14:paraId="2C21B23F" w14:textId="77777777" w:rsidTr="003F606C">
        <w:trPr>
          <w:trHeight w:val="1077"/>
        </w:trPr>
        <w:tc>
          <w:tcPr>
            <w:tcW w:w="146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0C1F06F3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D5A5100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hideMark/>
          </w:tcPr>
          <w:p w14:paraId="2CE233BC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CE778C1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7106C90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Our people and systems are continuously improving to deliver the best health outcomes and experiences</w:t>
            </w:r>
          </w:p>
        </w:tc>
      </w:tr>
      <w:tr w:rsidR="00997739" w:rsidRPr="00985F1C" w14:paraId="3C6346AF" w14:textId="77777777" w:rsidTr="5019E4D4">
        <w:trPr>
          <w:trHeight w:val="105"/>
        </w:trPr>
        <w:tc>
          <w:tcPr>
            <w:tcW w:w="146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23BFDDE0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2AF9CB1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61ADC42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7F80C563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0A215916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</w:tr>
      <w:tr w:rsidR="00997739" w:rsidRPr="00985F1C" w14:paraId="51988B6A" w14:textId="77777777" w:rsidTr="5019E4D4">
        <w:trPr>
          <w:trHeight w:val="60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479B6910" w14:textId="77777777" w:rsidR="00997739" w:rsidRPr="00DC4E5D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AU" w:eastAsia="en-AU"/>
              </w:rPr>
            </w:pPr>
            <w:r w:rsidRPr="00DC4E5D">
              <w:rPr>
                <w:b/>
                <w:bCs/>
                <w:sz w:val="24"/>
                <w:szCs w:val="24"/>
              </w:rPr>
              <w:t>Planning, Industry and Environment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01A5B36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985F1C"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7E29FCA2" w14:textId="77777777" w:rsidR="00997739" w:rsidRPr="00DC4E5D" w:rsidRDefault="00997739" w:rsidP="0099773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C4E5D">
              <w:rPr>
                <w:b/>
                <w:bCs/>
                <w:sz w:val="24"/>
                <w:szCs w:val="24"/>
              </w:rPr>
              <w:t>Premier and Cabinet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2BCDC0C6" w14:textId="77777777" w:rsidR="00997739" w:rsidRPr="00985F1C" w:rsidRDefault="00997739" w:rsidP="00997739">
            <w:pPr>
              <w:widowControl/>
              <w:autoSpaceDE/>
              <w:autoSpaceDN/>
              <w:rPr>
                <w:b/>
                <w:bCs/>
                <w:color w:val="002563"/>
                <w:sz w:val="24"/>
                <w:szCs w:val="24"/>
              </w:rPr>
            </w:pPr>
            <w:r w:rsidRPr="00985F1C">
              <w:rPr>
                <w:b/>
                <w:bCs/>
                <w:color w:val="002563"/>
                <w:sz w:val="24"/>
                <w:szCs w:val="24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0F693164" w14:textId="77777777" w:rsidR="00997739" w:rsidRPr="00DC4E5D" w:rsidRDefault="00997739" w:rsidP="00997739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DC4E5D">
              <w:rPr>
                <w:b/>
                <w:bCs/>
                <w:sz w:val="24"/>
                <w:szCs w:val="24"/>
              </w:rPr>
              <w:t>Regional NSW</w:t>
            </w:r>
          </w:p>
        </w:tc>
      </w:tr>
      <w:tr w:rsidR="00997739" w:rsidRPr="00DD3693" w14:paraId="48F2F68E" w14:textId="77777777" w:rsidTr="00732F74">
        <w:trPr>
          <w:trHeight w:val="1644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29434A" w14:textId="2438C662" w:rsidR="00997739" w:rsidRPr="00985F1C" w:rsidRDefault="005D216F" w:rsidP="00DA650B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1"/>
                <w:szCs w:val="21"/>
                <w:lang w:val="en-AU" w:eastAsia="en-AU"/>
              </w:rPr>
            </w:pPr>
            <w:r>
              <w:rPr>
                <w:sz w:val="21"/>
              </w:rPr>
              <w:t>Responsible for the stewardship of the NSW Government’s natural and built assets.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1E07494C" w14:textId="3CA0FC9B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893B32A" w14:textId="7F86A341" w:rsidR="00997739" w:rsidRPr="00985F1C" w:rsidRDefault="009E0E18" w:rsidP="00DA650B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1"/>
                <w:szCs w:val="21"/>
                <w:lang w:val="en-AU" w:eastAsia="en-AU"/>
              </w:rPr>
            </w:pPr>
            <w:r>
              <w:rPr>
                <w:sz w:val="21"/>
              </w:rPr>
              <w:t xml:space="preserve">Works for the people of NSW by supporting </w:t>
            </w:r>
            <w:r w:rsidR="00291C31">
              <w:rPr>
                <w:sz w:val="21"/>
              </w:rPr>
              <w:t xml:space="preserve">the </w:t>
            </w:r>
            <w:r>
              <w:rPr>
                <w:sz w:val="21"/>
              </w:rPr>
              <w:t xml:space="preserve">Premier and </w:t>
            </w:r>
            <w:r w:rsidR="00291C31">
              <w:rPr>
                <w:sz w:val="21"/>
              </w:rPr>
              <w:t xml:space="preserve">the </w:t>
            </w:r>
            <w:r>
              <w:rPr>
                <w:sz w:val="21"/>
              </w:rPr>
              <w:t>Cabinet</w:t>
            </w:r>
            <w:r w:rsidR="00291C31">
              <w:rPr>
                <w:sz w:val="21"/>
              </w:rPr>
              <w:t xml:space="preserve"> to deliver NSW Government’s objectives</w:t>
            </w:r>
            <w:r w:rsidR="00997739" w:rsidRPr="00FA7F0E">
              <w:rPr>
                <w:sz w:val="21"/>
              </w:rPr>
              <w:t>.</w:t>
            </w:r>
          </w:p>
        </w:tc>
        <w:tc>
          <w:tcPr>
            <w:tcW w:w="152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hideMark/>
          </w:tcPr>
          <w:p w14:paraId="754D21D4" w14:textId="070793A3" w:rsidR="00997739" w:rsidRPr="00985F1C" w:rsidRDefault="00997739" w:rsidP="00997739">
            <w:pPr>
              <w:widowControl/>
              <w:autoSpaceDE/>
              <w:autoSpaceDN/>
              <w:rPr>
                <w:b/>
                <w:bCs/>
                <w:color w:val="002563"/>
                <w:sz w:val="24"/>
                <w:szCs w:val="24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B17BE79" w14:textId="48B79913" w:rsidR="00997739" w:rsidRPr="00985F1C" w:rsidRDefault="00997739" w:rsidP="00DA650B">
            <w:pPr>
              <w:widowControl/>
              <w:autoSpaceDE/>
              <w:autoSpaceDN/>
              <w:jc w:val="center"/>
              <w:rPr>
                <w:color w:val="002563"/>
                <w:sz w:val="21"/>
              </w:rPr>
            </w:pPr>
            <w:r w:rsidRPr="00FA7F0E">
              <w:rPr>
                <w:sz w:val="21"/>
              </w:rPr>
              <w:t>Builds strong, cohesive communities and economies, grow primary industries, create jobs and employment, and steward the use of our natural endowments.</w:t>
            </w:r>
          </w:p>
        </w:tc>
      </w:tr>
      <w:tr w:rsidR="00997739" w:rsidRPr="00985F1C" w14:paraId="413E923C" w14:textId="77777777" w:rsidTr="5019E4D4">
        <w:trPr>
          <w:trHeight w:val="90"/>
        </w:trPr>
        <w:tc>
          <w:tcPr>
            <w:tcW w:w="146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45936B71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38DB288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E06D523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72B6F5D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</w:tcPr>
          <w:p w14:paraId="385C1FD9" w14:textId="77777777" w:rsidR="00997739" w:rsidRPr="00985F1C" w:rsidRDefault="00997739" w:rsidP="00997739">
            <w:pPr>
              <w:widowControl/>
              <w:autoSpaceDE/>
              <w:autoSpaceDN/>
              <w:rPr>
                <w:color w:val="002563"/>
                <w:sz w:val="21"/>
              </w:rPr>
            </w:pPr>
          </w:p>
        </w:tc>
      </w:tr>
      <w:tr w:rsidR="00997739" w:rsidRPr="00985F1C" w14:paraId="1DD75E00" w14:textId="77777777" w:rsidTr="5019E4D4">
        <w:trPr>
          <w:trHeight w:val="90"/>
        </w:trPr>
        <w:tc>
          <w:tcPr>
            <w:tcW w:w="146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  <w:hideMark/>
          </w:tcPr>
          <w:p w14:paraId="2BE9942F" w14:textId="71F5F239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AE68672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8C0A62C" w14:textId="12A98065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1B3A8E5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74633AE5" w14:textId="49813492" w:rsidR="00997739" w:rsidRPr="00985F1C" w:rsidRDefault="00997739" w:rsidP="00997739">
            <w:pPr>
              <w:widowControl/>
              <w:autoSpaceDE/>
              <w:autoSpaceDN/>
              <w:rPr>
                <w:color w:val="002563"/>
                <w:sz w:val="21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</w:tr>
      <w:tr w:rsidR="00997739" w:rsidRPr="00985F1C" w14:paraId="60A704E5" w14:textId="77777777" w:rsidTr="5019E4D4">
        <w:trPr>
          <w:trHeight w:val="540"/>
        </w:trPr>
        <w:tc>
          <w:tcPr>
            <w:tcW w:w="146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A3DF4BF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Connecting communities to resilient and sustainable energy and local environments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65E33FEA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A17EFDD" w14:textId="6299B1E2" w:rsidR="00997739" w:rsidRPr="00985F1C" w:rsidRDefault="00291C31" w:rsidP="00945216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Effective and coordinated </w:t>
            </w:r>
            <w:r w:rsidR="00B12ED3">
              <w:rPr>
                <w:rFonts w:eastAsia="Times New Roman"/>
                <w:sz w:val="21"/>
                <w:szCs w:val="21"/>
                <w:lang w:val="en-AU" w:eastAsia="en-AU"/>
              </w:rPr>
              <w:t>g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overnment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6359D4CA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8452B9E" w14:textId="264B5939" w:rsidR="00997739" w:rsidRPr="00985F1C" w:rsidRDefault="00B36D80" w:rsidP="0061322E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Productive and sustainable land use</w:t>
            </w:r>
          </w:p>
        </w:tc>
      </w:tr>
      <w:tr w:rsidR="00997739" w:rsidRPr="00985F1C" w14:paraId="304A2BC6" w14:textId="77777777" w:rsidTr="5019E4D4">
        <w:trPr>
          <w:trHeight w:val="540"/>
        </w:trPr>
        <w:tc>
          <w:tcPr>
            <w:tcW w:w="146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2739D63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Create a strong and liveable NSW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28698A6D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3F0388F" w14:textId="2E66B024" w:rsidR="00997739" w:rsidRPr="00985F1C" w:rsidRDefault="00291C31" w:rsidP="00291C31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Excellence in arts, culture and heritage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61B6C94C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3C55527C" w14:textId="6B9BB02F" w:rsidR="00997739" w:rsidRPr="00985F1C" w:rsidRDefault="0061322E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Stronger 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p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rimary 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i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ndustries</w:t>
            </w:r>
          </w:p>
        </w:tc>
      </w:tr>
      <w:tr w:rsidR="00997739" w:rsidRPr="00985F1C" w14:paraId="000AAB63" w14:textId="77777777" w:rsidTr="003F606C">
        <w:trPr>
          <w:trHeight w:val="907"/>
        </w:trPr>
        <w:tc>
          <w:tcPr>
            <w:tcW w:w="1465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87E24C5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Maximise community benefit from Government land and property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0A556B3E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9FFDC8E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Empowering Aboriginal communities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14:paraId="37BCDB73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  <w:hideMark/>
          </w:tcPr>
          <w:p w14:paraId="633B9687" w14:textId="2E8FD8D4" w:rsidR="0061322E" w:rsidRPr="00985F1C" w:rsidRDefault="0061322E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Mineral and petroleum industries generating prosperity, safely</w:t>
            </w:r>
          </w:p>
        </w:tc>
      </w:tr>
      <w:tr w:rsidR="00997739" w:rsidRPr="00985F1C" w14:paraId="3B5F77BA" w14:textId="77777777" w:rsidTr="003F606C">
        <w:trPr>
          <w:trHeight w:val="907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45DAF7C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Sustainable, secure and healthy water resources and services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1FC92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77E329F4" w14:textId="3A32676B" w:rsidR="00291C31" w:rsidRPr="00985F1C" w:rsidRDefault="00291C31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Accountable and responsible </w:t>
            </w:r>
            <w:r w:rsidR="00945216">
              <w:rPr>
                <w:rFonts w:eastAsia="Times New Roman"/>
                <w:sz w:val="21"/>
                <w:szCs w:val="21"/>
                <w:lang w:val="en-AU" w:eastAsia="en-AU"/>
              </w:rPr>
              <w:t>g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overnment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D6954" w14:textId="77777777" w:rsidR="00997739" w:rsidRPr="00985F1C" w:rsidRDefault="00997739" w:rsidP="00997739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34EA6BD" w14:textId="76B44BE6" w:rsidR="00997739" w:rsidRPr="00985F1C" w:rsidRDefault="0061322E" w:rsidP="0061322E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Stronger and cohesive regional communities and economies</w:t>
            </w:r>
          </w:p>
        </w:tc>
      </w:tr>
      <w:tr w:rsidR="00997739" w:rsidRPr="00985F1C" w14:paraId="662E3907" w14:textId="77777777" w:rsidTr="5019E4D4">
        <w:trPr>
          <w:trHeight w:val="105"/>
        </w:trPr>
        <w:tc>
          <w:tcPr>
            <w:tcW w:w="146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5880F6F5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668EED6B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1437089A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1E51B08C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3EEEB1F7" w14:textId="77777777" w:rsidR="00997739" w:rsidRPr="00985F1C" w:rsidRDefault="00997739" w:rsidP="00997739">
            <w:pPr>
              <w:widowControl/>
              <w:autoSpaceDE/>
              <w:autoSpaceDN/>
              <w:rPr>
                <w:rFonts w:eastAsia="Times New Roman"/>
                <w:color w:val="000000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lang w:val="en-AU" w:eastAsia="en-AU"/>
              </w:rPr>
              <w:t> </w:t>
            </w:r>
          </w:p>
        </w:tc>
      </w:tr>
    </w:tbl>
    <w:p w14:paraId="21A9690F" w14:textId="77777777" w:rsidR="00CF2892" w:rsidRDefault="00CF2892" w:rsidP="00013C61">
      <w:pPr>
        <w:rPr>
          <w:b/>
          <w:bCs/>
          <w:sz w:val="28"/>
          <w:szCs w:val="28"/>
        </w:rPr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  <w:tblCaption w:val="Figure 3:  The Government Clusters and the 37 State Outcomes "/>
      </w:tblPr>
      <w:tblGrid>
        <w:gridCol w:w="2824"/>
        <w:gridCol w:w="293"/>
        <w:gridCol w:w="3115"/>
        <w:gridCol w:w="293"/>
        <w:gridCol w:w="3113"/>
      </w:tblGrid>
      <w:tr w:rsidR="00CF2892" w:rsidRPr="00985F1C" w14:paraId="470F871E" w14:textId="77777777" w:rsidTr="00FD0156">
        <w:trPr>
          <w:trHeight w:val="60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16AE61F5" w14:textId="77777777" w:rsidR="00CF2892" w:rsidRPr="00DC4E5D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val="en-AU" w:eastAsia="en-AU"/>
              </w:rPr>
            </w:pPr>
            <w:r w:rsidRPr="00DC4E5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Stronger Communities</w:t>
            </w:r>
          </w:p>
        </w:tc>
        <w:tc>
          <w:tcPr>
            <w:tcW w:w="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F0A77B" w14:textId="77777777" w:rsidR="00CF2892" w:rsidRPr="00985F1C" w:rsidRDefault="00CF2892" w:rsidP="008B4ED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985F1C"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3D55EB5B" w14:textId="77777777" w:rsidR="00CF2892" w:rsidRPr="00DC4E5D" w:rsidRDefault="00CF2892" w:rsidP="008B4ED3">
            <w:pPr>
              <w:widowControl/>
              <w:autoSpaceDE/>
              <w:autoSpaceDN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DC4E5D">
              <w:rPr>
                <w:b/>
                <w:bCs/>
                <w:color w:val="FFFFFF" w:themeColor="background1"/>
                <w:sz w:val="24"/>
                <w:szCs w:val="24"/>
              </w:rPr>
              <w:t>Transport</w:t>
            </w:r>
          </w:p>
        </w:tc>
        <w:tc>
          <w:tcPr>
            <w:tcW w:w="15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32DB73" w14:textId="77777777" w:rsidR="00CF2892" w:rsidRPr="00985F1C" w:rsidRDefault="00CF2892" w:rsidP="008B4ED3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</w:pPr>
            <w:r w:rsidRPr="00985F1C">
              <w:rPr>
                <w:rFonts w:eastAsia="Times New Roman"/>
                <w:b/>
                <w:bCs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  <w:hideMark/>
          </w:tcPr>
          <w:p w14:paraId="4E199900" w14:textId="77777777" w:rsidR="00CF2892" w:rsidRPr="00FD0156" w:rsidRDefault="00CF2892" w:rsidP="008B4ED3">
            <w:pPr>
              <w:widowControl/>
              <w:autoSpaceDE/>
              <w:autoSpaceDN/>
              <w:jc w:val="center"/>
              <w:rPr>
                <w:b/>
                <w:bCs/>
                <w:color w:val="002563"/>
                <w:sz w:val="24"/>
                <w:szCs w:val="24"/>
              </w:rPr>
            </w:pPr>
            <w:r w:rsidRPr="00FD0156">
              <w:rPr>
                <w:b/>
                <w:bCs/>
                <w:color w:val="FFFFFF" w:themeColor="background1"/>
                <w:sz w:val="24"/>
                <w:szCs w:val="24"/>
              </w:rPr>
              <w:t>Treasury</w:t>
            </w:r>
          </w:p>
        </w:tc>
      </w:tr>
      <w:tr w:rsidR="00DA4ACB" w:rsidRPr="00985F1C" w14:paraId="61676D24" w14:textId="77777777" w:rsidTr="000873EF">
        <w:trPr>
          <w:trHeight w:val="20"/>
        </w:trPr>
        <w:tc>
          <w:tcPr>
            <w:tcW w:w="1465" w:type="pct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1ED30" w14:textId="42BB7E2B" w:rsidR="00DA4ACB" w:rsidRPr="00DA4ACB" w:rsidRDefault="009A7331" w:rsidP="00DA4ACB">
            <w:pPr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>
              <w:t>Delivers community services that support a safe and just New South Wales.</w:t>
            </w:r>
          </w:p>
        </w:tc>
        <w:tc>
          <w:tcPr>
            <w:tcW w:w="15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14:paraId="20753390" w14:textId="77777777" w:rsidR="00DA4ACB" w:rsidRPr="00DA4ACB" w:rsidRDefault="00DA4ACB" w:rsidP="0012565F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47EF28" w14:textId="1195ADAD" w:rsidR="00DA4ACB" w:rsidRPr="00DA4ACB" w:rsidRDefault="00FE352B" w:rsidP="00DA4ACB">
            <w:pPr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>
              <w:t>Plans and delivers infrastructure and integrated services across all modes of transport, including road, rail, metro, bus, ferry, light rail, cycling and walking.</w:t>
            </w:r>
          </w:p>
        </w:tc>
        <w:tc>
          <w:tcPr>
            <w:tcW w:w="15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</w:tcPr>
          <w:p w14:paraId="21AEB530" w14:textId="77777777" w:rsidR="00DA4ACB" w:rsidRPr="00985F1C" w:rsidRDefault="00DA4ACB" w:rsidP="001256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5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69BC3E" w14:textId="645D2AD8" w:rsidR="00DA4ACB" w:rsidRPr="00DB095B" w:rsidRDefault="00DA4ACB" w:rsidP="00DA4ACB">
            <w:pPr>
              <w:jc w:val="center"/>
              <w:rPr>
                <w:rFonts w:eastAsia="Times New Roman"/>
                <w:color w:val="FFFFFF"/>
                <w:sz w:val="21"/>
                <w:szCs w:val="21"/>
                <w:lang w:val="en-AU" w:eastAsia="en-AU"/>
              </w:rPr>
            </w:pPr>
            <w:r w:rsidRPr="00DA4ACB">
              <w:rPr>
                <w:sz w:val="21"/>
              </w:rPr>
              <w:t>Supports a strong fiscal operating position and balance sheet and leads the promotion of a strong economy, creating quality jobs and securing investments for the State.</w:t>
            </w:r>
          </w:p>
        </w:tc>
      </w:tr>
      <w:tr w:rsidR="00DA4ACB" w:rsidRPr="00985F1C" w14:paraId="5659BD49" w14:textId="77777777" w:rsidTr="00DA4ACB">
        <w:trPr>
          <w:trHeight w:val="1675"/>
        </w:trPr>
        <w:tc>
          <w:tcPr>
            <w:tcW w:w="1465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39BF55E0" w14:textId="4229559F" w:rsidR="00DA4ACB" w:rsidRPr="00985F1C" w:rsidRDefault="00DA4ACB" w:rsidP="0012565F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1"/>
                <w:szCs w:val="21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4E5341" w14:textId="1EF491D9" w:rsidR="00DA4ACB" w:rsidRPr="00985F1C" w:rsidRDefault="00DA4ACB" w:rsidP="001256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63DCDF7E" w14:textId="2C4BA92F" w:rsidR="00DA4ACB" w:rsidRPr="00985F1C" w:rsidRDefault="00DA4ACB" w:rsidP="0012565F">
            <w:pPr>
              <w:widowControl/>
              <w:autoSpaceDE/>
              <w:autoSpaceDN/>
              <w:jc w:val="center"/>
              <w:rPr>
                <w:rFonts w:eastAsia="Times New Roman"/>
                <w:color w:val="FFFFFF"/>
                <w:sz w:val="21"/>
                <w:szCs w:val="21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76E0C8" w14:textId="278BE370" w:rsidR="00DA4ACB" w:rsidRPr="00985F1C" w:rsidRDefault="00DA4ACB" w:rsidP="0012565F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5" w:type="pct"/>
            <w:vMerge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0A9A23BD" w14:textId="48F86F61" w:rsidR="00DA4ACB" w:rsidRPr="00985F1C" w:rsidRDefault="00DA4ACB" w:rsidP="0012565F">
            <w:pPr>
              <w:widowControl/>
              <w:autoSpaceDE/>
              <w:autoSpaceDN/>
              <w:jc w:val="center"/>
              <w:rPr>
                <w:color w:val="002563"/>
                <w:sz w:val="21"/>
              </w:rPr>
            </w:pPr>
          </w:p>
        </w:tc>
      </w:tr>
      <w:tr w:rsidR="00FA7F0E" w:rsidRPr="00985F1C" w14:paraId="072DF885" w14:textId="77777777" w:rsidTr="003C04CA">
        <w:trPr>
          <w:trHeight w:val="90"/>
        </w:trPr>
        <w:tc>
          <w:tcPr>
            <w:tcW w:w="146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12E98BFD" w14:textId="77777777" w:rsidR="00FA7F0E" w:rsidRPr="00985F1C" w:rsidRDefault="00FA7F0E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4AC36FD" w14:textId="77777777" w:rsidR="00FA7F0E" w:rsidRPr="00985F1C" w:rsidRDefault="00FA7F0E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7DC645B9" w14:textId="77777777" w:rsidR="00FA7F0E" w:rsidRPr="00985F1C" w:rsidRDefault="00FA7F0E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3A6DC4CA" w14:textId="77777777" w:rsidR="00FA7F0E" w:rsidRPr="00985F1C" w:rsidRDefault="00FA7F0E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</w:tcPr>
          <w:p w14:paraId="20235985" w14:textId="77777777" w:rsidR="00FA7F0E" w:rsidRPr="00985F1C" w:rsidRDefault="00FA7F0E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</w:p>
        </w:tc>
      </w:tr>
      <w:tr w:rsidR="00CF2892" w:rsidRPr="00985F1C" w14:paraId="219B70FA" w14:textId="77777777" w:rsidTr="003C04CA">
        <w:trPr>
          <w:trHeight w:val="90"/>
        </w:trPr>
        <w:tc>
          <w:tcPr>
            <w:tcW w:w="146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BBF7921" w14:textId="3925F0B5" w:rsidR="00CF2892" w:rsidRPr="00985F1C" w:rsidRDefault="00CF2892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="00DA4ACB"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="00DA4ACB"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96B824" w14:textId="77777777" w:rsidR="00CF2892" w:rsidRPr="00985F1C" w:rsidRDefault="00CF2892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22E5B1" w14:textId="2C8C5295" w:rsidR="00CF2892" w:rsidRPr="00985F1C" w:rsidRDefault="00CF2892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="00DA4ACB"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="00DA4ACB"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27C03" w14:textId="77777777" w:rsidR="00CF2892" w:rsidRPr="00985F1C" w:rsidRDefault="00CF2892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C4839" w14:textId="77E4BBDA" w:rsidR="00CF2892" w:rsidRPr="00985F1C" w:rsidRDefault="00CF2892" w:rsidP="008B4ED3">
            <w:pPr>
              <w:widowControl/>
              <w:autoSpaceDE/>
              <w:autoSpaceDN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="00DA4ACB"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  <w:r w:rsidR="00DA4ACB" w:rsidRPr="00B7220E">
              <w:rPr>
                <w:rFonts w:eastAsia="Times New Roman"/>
                <w:b/>
                <w:bCs/>
                <w:i/>
                <w:iCs/>
                <w:color w:val="002060"/>
                <w:sz w:val="20"/>
                <w:szCs w:val="20"/>
                <w:lang w:val="en-AU" w:eastAsia="en-AU"/>
              </w:rPr>
              <w:t>State Outcomes</w:t>
            </w:r>
          </w:p>
        </w:tc>
      </w:tr>
      <w:tr w:rsidR="00CF2892" w:rsidRPr="00985F1C" w14:paraId="7D1D4913" w14:textId="77777777" w:rsidTr="00C92699">
        <w:trPr>
          <w:trHeight w:val="794"/>
        </w:trPr>
        <w:tc>
          <w:tcPr>
            <w:tcW w:w="146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349D81F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Active and inclusive communities</w:t>
            </w:r>
          </w:p>
        </w:tc>
        <w:tc>
          <w:tcPr>
            <w:tcW w:w="152" w:type="pct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  <w:hideMark/>
          </w:tcPr>
          <w:p w14:paraId="22F50B09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2DB50FB8" w14:textId="024608A5" w:rsidR="00CF2892" w:rsidRPr="00985F1C" w:rsidRDefault="00FE352B" w:rsidP="00200F6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Connecting our customers’ whole lives</w:t>
            </w:r>
          </w:p>
        </w:tc>
        <w:tc>
          <w:tcPr>
            <w:tcW w:w="152" w:type="pct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  <w:hideMark/>
          </w:tcPr>
          <w:p w14:paraId="1628C935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35BBB50B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A strong, resilient and diverse economy</w:t>
            </w:r>
          </w:p>
        </w:tc>
      </w:tr>
      <w:tr w:rsidR="00CF2892" w:rsidRPr="00985F1C" w14:paraId="4274CE22" w14:textId="77777777" w:rsidTr="000873EF">
        <w:trPr>
          <w:trHeight w:val="794"/>
        </w:trPr>
        <w:tc>
          <w:tcPr>
            <w:tcW w:w="1465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67895530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Children and families thrive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  <w:hideMark/>
          </w:tcPr>
          <w:p w14:paraId="1A95F2DF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05932617" w14:textId="063EAD5E" w:rsidR="00CF2892" w:rsidRPr="00985F1C" w:rsidRDefault="00200F63" w:rsidP="00200F6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Successful places for communities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  <w:hideMark/>
          </w:tcPr>
          <w:p w14:paraId="7928E1FF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3072E2D5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A sustainable fiscal environment enabling delivery of outcomes</w:t>
            </w:r>
          </w:p>
        </w:tc>
      </w:tr>
      <w:tr w:rsidR="00CF2892" w:rsidRPr="00985F1C" w14:paraId="18373180" w14:textId="77777777" w:rsidTr="000873EF">
        <w:trPr>
          <w:trHeight w:val="850"/>
        </w:trPr>
        <w:tc>
          <w:tcPr>
            <w:tcW w:w="1465" w:type="pct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614D681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Efficient and effective legal system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auto"/>
            <w:vAlign w:val="center"/>
            <w:hideMark/>
          </w:tcPr>
          <w:p w14:paraId="3875D8C6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C09E977" w14:textId="4D2F96E6" w:rsidR="00FB1F67" w:rsidRPr="00985F1C" w:rsidRDefault="00FB1F67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Sustainable 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t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ransport </w:t>
            </w:r>
            <w:r w:rsidR="00200F63">
              <w:rPr>
                <w:rFonts w:eastAsia="Times New Roman"/>
                <w:sz w:val="21"/>
                <w:szCs w:val="21"/>
                <w:lang w:val="en-AU" w:eastAsia="en-AU"/>
              </w:rPr>
              <w:t>s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ystems and 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s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olutions 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s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upporting 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e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 xml:space="preserve">conomic </w:t>
            </w:r>
            <w:r>
              <w:rPr>
                <w:rFonts w:eastAsia="Times New Roman"/>
                <w:sz w:val="21"/>
                <w:szCs w:val="21"/>
                <w:lang w:val="en-AU" w:eastAsia="en-AU"/>
              </w:rPr>
              <w:t>a</w:t>
            </w: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ctivity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434E4349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2C78252E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Stewardship of the public sector performance and financial system</w:t>
            </w:r>
          </w:p>
        </w:tc>
      </w:tr>
      <w:tr w:rsidR="00CF2892" w:rsidRPr="00985F1C" w14:paraId="7035C107" w14:textId="77777777" w:rsidTr="00DA650B">
        <w:trPr>
          <w:trHeight w:val="540"/>
        </w:trPr>
        <w:tc>
          <w:tcPr>
            <w:tcW w:w="1465" w:type="pct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1872C289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People have a safe and affordable place to live</w:t>
            </w:r>
          </w:p>
        </w:tc>
        <w:tc>
          <w:tcPr>
            <w:tcW w:w="152" w:type="pct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auto"/>
            <w:noWrap/>
            <w:hideMark/>
          </w:tcPr>
          <w:p w14:paraId="059DBCBE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0F5E76A1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35F9BB68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4897521B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</w:tr>
      <w:tr w:rsidR="00CF2892" w:rsidRPr="00985F1C" w14:paraId="6115E207" w14:textId="77777777" w:rsidTr="00DA650B">
        <w:trPr>
          <w:trHeight w:val="540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593B26F9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Prepared for disasters and emergencies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2FAFE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0373C8A1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0BE4809D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5826BC62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</w:tr>
      <w:tr w:rsidR="00CF2892" w:rsidRPr="00985F1C" w14:paraId="1B6D0661" w14:textId="77777777" w:rsidTr="00DA650B">
        <w:trPr>
          <w:trHeight w:val="540"/>
        </w:trPr>
        <w:tc>
          <w:tcPr>
            <w:tcW w:w="1465" w:type="pct"/>
            <w:tcBorders>
              <w:top w:val="single" w:sz="12" w:space="0" w:color="FFFFFF"/>
              <w:left w:val="nil"/>
              <w:bottom w:val="nil"/>
              <w:right w:val="single" w:sz="4" w:space="0" w:color="FFFFFF"/>
            </w:tcBorders>
            <w:shd w:val="clear" w:color="auto" w:fill="DEEAF6" w:themeFill="accent5" w:themeFillTint="33"/>
            <w:vAlign w:val="center"/>
            <w:hideMark/>
          </w:tcPr>
          <w:p w14:paraId="1F8D0C00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Reduce reoffending</w:t>
            </w:r>
          </w:p>
        </w:tc>
        <w:tc>
          <w:tcPr>
            <w:tcW w:w="152" w:type="pct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1120D3B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6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2C9250E0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04355CF3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0E3B7E68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color w:val="000000"/>
                <w:sz w:val="21"/>
                <w:szCs w:val="21"/>
                <w:lang w:val="en-AU" w:eastAsia="en-AU"/>
              </w:rPr>
              <w:t> </w:t>
            </w:r>
          </w:p>
        </w:tc>
      </w:tr>
      <w:tr w:rsidR="00CF2892" w:rsidRPr="00985F1C" w14:paraId="43B73B5C" w14:textId="77777777" w:rsidTr="00DA650B">
        <w:trPr>
          <w:trHeight w:val="540"/>
        </w:trPr>
        <w:tc>
          <w:tcPr>
            <w:tcW w:w="1465" w:type="pct"/>
            <w:tcBorders>
              <w:top w:val="single" w:sz="12" w:space="0" w:color="FFFFFF"/>
              <w:left w:val="nil"/>
              <w:bottom w:val="single" w:sz="4" w:space="0" w:color="FFFFFF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409A87F9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Safer communities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3DA8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</w:p>
        </w:tc>
        <w:tc>
          <w:tcPr>
            <w:tcW w:w="1616" w:type="pct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77CCF7E5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0D4F104B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  <w:hideMark/>
          </w:tcPr>
          <w:p w14:paraId="2D30C9B7" w14:textId="77777777" w:rsidR="00CF2892" w:rsidRPr="00985F1C" w:rsidRDefault="00CF2892" w:rsidP="008B4ED3">
            <w:pPr>
              <w:widowControl/>
              <w:autoSpaceDE/>
              <w:autoSpaceDN/>
              <w:jc w:val="center"/>
              <w:rPr>
                <w:rFonts w:eastAsia="Times New Roman"/>
                <w:sz w:val="21"/>
                <w:szCs w:val="21"/>
                <w:lang w:val="en-AU" w:eastAsia="en-AU"/>
              </w:rPr>
            </w:pPr>
            <w:r w:rsidRPr="00985F1C">
              <w:rPr>
                <w:rFonts w:eastAsia="Times New Roman"/>
                <w:sz w:val="21"/>
                <w:szCs w:val="21"/>
                <w:lang w:val="en-AU" w:eastAsia="en-AU"/>
              </w:rPr>
              <w:t> </w:t>
            </w:r>
          </w:p>
        </w:tc>
      </w:tr>
    </w:tbl>
    <w:p w14:paraId="02216ACA" w14:textId="77777777" w:rsidR="007E2DA0" w:rsidRDefault="007E2DA0" w:rsidP="00661403"/>
    <w:p w14:paraId="568E4FE7" w14:textId="77777777" w:rsidR="001A7305" w:rsidRDefault="001A7305" w:rsidP="00661403"/>
    <w:p w14:paraId="320F8396" w14:textId="77777777" w:rsidR="001A7305" w:rsidRDefault="001A7305" w:rsidP="00661403"/>
    <w:p w14:paraId="4A0F24F7" w14:textId="77777777" w:rsidR="007E2DA0" w:rsidRDefault="007E2DA0" w:rsidP="00661403"/>
    <w:p w14:paraId="3790025D" w14:textId="77777777" w:rsidR="007E2DA0" w:rsidRDefault="007E2DA0" w:rsidP="00661403">
      <w:pPr>
        <w:rPr>
          <w:sz w:val="28"/>
          <w:szCs w:val="28"/>
        </w:rPr>
      </w:pPr>
      <w:r>
        <w:br w:type="page"/>
      </w:r>
    </w:p>
    <w:p w14:paraId="16C24002" w14:textId="64C603F9" w:rsidR="00147673" w:rsidRDefault="00147673" w:rsidP="00661403">
      <w:pPr>
        <w:pStyle w:val="Heading2"/>
      </w:pPr>
      <w:r>
        <w:lastRenderedPageBreak/>
        <w:t xml:space="preserve">Structure of this </w:t>
      </w:r>
      <w:r w:rsidRPr="00661403">
        <w:t>budget</w:t>
      </w:r>
      <w:r>
        <w:t xml:space="preserve"> paper </w:t>
      </w:r>
    </w:p>
    <w:p w14:paraId="02EBF6BB" w14:textId="14CE3721" w:rsidR="00147673" w:rsidRDefault="00147673" w:rsidP="000957F3">
      <w:pPr>
        <w:pStyle w:val="BodyText"/>
      </w:pPr>
      <w:r>
        <w:t xml:space="preserve">This Budget paper includes an </w:t>
      </w:r>
      <w:r w:rsidR="009021E8">
        <w:t>O</w:t>
      </w:r>
      <w:r>
        <w:t xml:space="preserve">utcome </w:t>
      </w:r>
      <w:r w:rsidR="008D0FFB">
        <w:t>S</w:t>
      </w:r>
      <w:r>
        <w:t xml:space="preserve">tatement related to the State Outcomes for each of the nine </w:t>
      </w:r>
      <w:r w:rsidR="004152E6">
        <w:t>C</w:t>
      </w:r>
      <w:r>
        <w:t xml:space="preserve">lusters, as well as a separate chapter for the </w:t>
      </w:r>
      <w:r w:rsidR="00914C82">
        <w:t>Legislature covering its strategic priorities and objectives.</w:t>
      </w:r>
    </w:p>
    <w:p w14:paraId="7592FFC4" w14:textId="77777777" w:rsidR="00914C82" w:rsidRDefault="00914C82" w:rsidP="00661403">
      <w:pPr>
        <w:pStyle w:val="Heading3"/>
      </w:pPr>
      <w:r>
        <w:t>Cluster Introduction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luster Introduction"/>
      </w:tblPr>
      <w:tblGrid>
        <w:gridCol w:w="3119"/>
        <w:gridCol w:w="6520"/>
      </w:tblGrid>
      <w:tr w:rsidR="00195192" w14:paraId="6922E46A" w14:textId="77777777" w:rsidTr="006946E7">
        <w:trPr>
          <w:trHeight w:val="364"/>
        </w:trPr>
        <w:tc>
          <w:tcPr>
            <w:tcW w:w="3119" w:type="dxa"/>
            <w:shd w:val="clear" w:color="auto" w:fill="00426F"/>
          </w:tcPr>
          <w:p w14:paraId="7D20F06C" w14:textId="77777777" w:rsidR="00195192" w:rsidRDefault="00195192" w:rsidP="00195192">
            <w:pPr>
              <w:pStyle w:val="TableParagraph"/>
              <w:spacing w:before="80"/>
              <w:ind w:left="13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Section</w:t>
            </w:r>
          </w:p>
        </w:tc>
        <w:tc>
          <w:tcPr>
            <w:tcW w:w="6520" w:type="dxa"/>
            <w:shd w:val="clear" w:color="auto" w:fill="00426F"/>
          </w:tcPr>
          <w:p w14:paraId="73B45B63" w14:textId="77777777" w:rsidR="00195192" w:rsidRDefault="00195192" w:rsidP="00F140EA">
            <w:pPr>
              <w:pStyle w:val="TableParagraph"/>
              <w:spacing w:before="80"/>
              <w:ind w:left="1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</w:tr>
      <w:tr w:rsidR="00195192" w14:paraId="5AA1954D" w14:textId="77777777" w:rsidTr="00CF1FBA">
        <w:trPr>
          <w:trHeight w:val="319"/>
        </w:trPr>
        <w:tc>
          <w:tcPr>
            <w:tcW w:w="3119" w:type="dxa"/>
            <w:tcBorders>
              <w:bottom w:val="single" w:sz="6" w:space="0" w:color="A6A6A6"/>
            </w:tcBorders>
          </w:tcPr>
          <w:p w14:paraId="7AA1B5A8" w14:textId="77777777" w:rsidR="00195192" w:rsidRDefault="00195192" w:rsidP="00CF1FBA">
            <w:pPr>
              <w:pStyle w:val="TableParagraph"/>
              <w:spacing w:before="40" w:after="40"/>
              <w:ind w:left="1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Introduction </w:t>
            </w:r>
          </w:p>
        </w:tc>
        <w:tc>
          <w:tcPr>
            <w:tcW w:w="6520" w:type="dxa"/>
            <w:tcBorders>
              <w:bottom w:val="single" w:sz="6" w:space="0" w:color="A6A6A6"/>
            </w:tcBorders>
          </w:tcPr>
          <w:p w14:paraId="28C2F79A" w14:textId="20AD355B" w:rsidR="00195192" w:rsidRDefault="00195192" w:rsidP="00CF1FBA">
            <w:pPr>
              <w:pStyle w:val="TableParagraph"/>
              <w:spacing w:before="40" w:after="40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describes the role, main activities and responsibilities of the </w:t>
            </w:r>
            <w:r w:rsidR="004152E6">
              <w:rPr>
                <w:sz w:val="18"/>
              </w:rPr>
              <w:t>C</w:t>
            </w:r>
            <w:r>
              <w:rPr>
                <w:sz w:val="18"/>
              </w:rPr>
              <w:t>luster.</w:t>
            </w:r>
          </w:p>
        </w:tc>
      </w:tr>
      <w:tr w:rsidR="00195192" w14:paraId="175C1ACF" w14:textId="77777777" w:rsidTr="00CF1FBA">
        <w:trPr>
          <w:trHeight w:val="319"/>
        </w:trPr>
        <w:tc>
          <w:tcPr>
            <w:tcW w:w="3119" w:type="dxa"/>
            <w:tcBorders>
              <w:bottom w:val="single" w:sz="6" w:space="0" w:color="A6A6A6"/>
            </w:tcBorders>
          </w:tcPr>
          <w:p w14:paraId="03E99A52" w14:textId="77777777" w:rsidR="00195192" w:rsidRDefault="00195192" w:rsidP="00CF1FBA">
            <w:pPr>
              <w:pStyle w:val="TableParagraph"/>
              <w:spacing w:before="40" w:after="40"/>
              <w:ind w:left="1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2020-21 Investment</w:t>
            </w:r>
          </w:p>
        </w:tc>
        <w:tc>
          <w:tcPr>
            <w:tcW w:w="6520" w:type="dxa"/>
            <w:tcBorders>
              <w:bottom w:val="single" w:sz="6" w:space="0" w:color="A6A6A6"/>
            </w:tcBorders>
          </w:tcPr>
          <w:p w14:paraId="33D1EC1E" w14:textId="7EDB96FB" w:rsidR="00195192" w:rsidRDefault="00195192" w:rsidP="00CF1FBA">
            <w:pPr>
              <w:pStyle w:val="TableParagraph"/>
              <w:spacing w:before="40" w:after="40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graphic depicts the amount of recurrent expenses and capital expenditure for the </w:t>
            </w:r>
            <w:r w:rsidR="004152E6">
              <w:rPr>
                <w:sz w:val="18"/>
              </w:rPr>
              <w:t>C</w:t>
            </w:r>
            <w:r>
              <w:rPr>
                <w:sz w:val="18"/>
              </w:rPr>
              <w:t>luster.</w:t>
            </w:r>
          </w:p>
        </w:tc>
      </w:tr>
      <w:tr w:rsidR="00195192" w14:paraId="186C6B37" w14:textId="77777777" w:rsidTr="00CF1FBA">
        <w:trPr>
          <w:trHeight w:val="561"/>
        </w:trPr>
        <w:tc>
          <w:tcPr>
            <w:tcW w:w="3119" w:type="dxa"/>
            <w:tcBorders>
              <w:top w:val="single" w:sz="4" w:space="0" w:color="A6A6A6"/>
              <w:bottom w:val="single" w:sz="4" w:space="0" w:color="000000"/>
            </w:tcBorders>
          </w:tcPr>
          <w:p w14:paraId="05DD6CE4" w14:textId="301E77EF" w:rsidR="00195192" w:rsidRDefault="00195192" w:rsidP="00CF1FBA">
            <w:pPr>
              <w:pStyle w:val="TableParagraph"/>
              <w:spacing w:before="40" w:after="40" w:line="240" w:lineRule="atLeast"/>
              <w:ind w:left="119" w:right="2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State Outcomes to be delivered by the cluster</w:t>
            </w:r>
            <w:r w:rsidR="00DC4E5D">
              <w:rPr>
                <w:b/>
                <w:sz w:val="1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6A6A6"/>
              <w:bottom w:val="single" w:sz="4" w:space="0" w:color="000000"/>
            </w:tcBorders>
          </w:tcPr>
          <w:p w14:paraId="1AA71F67" w14:textId="79D7D56E" w:rsidR="00195192" w:rsidRDefault="00195192" w:rsidP="00CF1FBA">
            <w:pPr>
              <w:pStyle w:val="TableParagraph"/>
              <w:spacing w:before="40" w:after="40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 xml:space="preserve">A short description of the State Outcomes the </w:t>
            </w:r>
            <w:r w:rsidR="004152E6">
              <w:rPr>
                <w:sz w:val="18"/>
              </w:rPr>
              <w:t>C</w:t>
            </w:r>
            <w:r>
              <w:rPr>
                <w:sz w:val="18"/>
              </w:rPr>
              <w:t>luster is working towards</w:t>
            </w:r>
            <w:r w:rsidR="00DC4E5D">
              <w:rPr>
                <w:sz w:val="18"/>
              </w:rPr>
              <w:t xml:space="preserve"> and examples of programs underway to support delivery of these </w:t>
            </w:r>
            <w:r w:rsidR="008D0FFB">
              <w:rPr>
                <w:sz w:val="18"/>
              </w:rPr>
              <w:t>O</w:t>
            </w:r>
            <w:r w:rsidR="00DC4E5D">
              <w:rPr>
                <w:sz w:val="18"/>
              </w:rPr>
              <w:t>utcomes</w:t>
            </w:r>
            <w:r>
              <w:rPr>
                <w:sz w:val="18"/>
              </w:rPr>
              <w:t>.</w:t>
            </w:r>
          </w:p>
        </w:tc>
      </w:tr>
    </w:tbl>
    <w:p w14:paraId="76F0852F" w14:textId="43C89BEB" w:rsidR="00914C82" w:rsidRDefault="00914C82" w:rsidP="001C79B8">
      <w:pPr>
        <w:pStyle w:val="Heading2"/>
      </w:pPr>
      <w:r>
        <w:t xml:space="preserve">Overview of </w:t>
      </w:r>
      <w:r w:rsidR="008D0FFB">
        <w:t>C</w:t>
      </w:r>
      <w:r>
        <w:t xml:space="preserve">luster </w:t>
      </w:r>
      <w:r w:rsidRPr="00661403">
        <w:t>expenses</w:t>
      </w:r>
      <w:r>
        <w:t xml:space="preserve"> by State Outcome</w:t>
      </w:r>
    </w:p>
    <w:p w14:paraId="04325E74" w14:textId="7861C575" w:rsidR="00914C82" w:rsidRDefault="00914C82" w:rsidP="000957F3">
      <w:pPr>
        <w:pStyle w:val="BodyText"/>
      </w:pPr>
      <w:r>
        <w:t xml:space="preserve">This section graphical presents the amount and percentage of recurrent expenses and capital expenditure across each of the State Outcomes delivered by the </w:t>
      </w:r>
      <w:r w:rsidR="004152E6">
        <w:t>C</w:t>
      </w:r>
      <w:r>
        <w:t>luster.</w:t>
      </w:r>
    </w:p>
    <w:p w14:paraId="09726A74" w14:textId="77777777" w:rsidR="00914C82" w:rsidRDefault="00914C82" w:rsidP="00661403">
      <w:pPr>
        <w:pStyle w:val="Heading2"/>
      </w:pPr>
      <w:r>
        <w:t xml:space="preserve">Cluster State Outcome </w:t>
      </w:r>
      <w:r w:rsidRPr="00661403">
        <w:t>Statements</w:t>
      </w:r>
      <w:r>
        <w:t xml:space="preserve"> </w:t>
      </w:r>
    </w:p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luster State Outcome Statements"/>
      </w:tblPr>
      <w:tblGrid>
        <w:gridCol w:w="3122"/>
        <w:gridCol w:w="6518"/>
      </w:tblGrid>
      <w:tr w:rsidR="00005744" w14:paraId="653FFCA3" w14:textId="77777777" w:rsidTr="006946E7">
        <w:trPr>
          <w:trHeight w:val="364"/>
        </w:trPr>
        <w:tc>
          <w:tcPr>
            <w:tcW w:w="3122" w:type="dxa"/>
            <w:shd w:val="clear" w:color="auto" w:fill="00426F"/>
          </w:tcPr>
          <w:p w14:paraId="60AA1034" w14:textId="77777777" w:rsidR="00005744" w:rsidRDefault="00005744" w:rsidP="00F140EA">
            <w:pPr>
              <w:pStyle w:val="TableParagraph"/>
              <w:spacing w:before="80"/>
              <w:ind w:left="1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Section</w:t>
            </w:r>
          </w:p>
        </w:tc>
        <w:tc>
          <w:tcPr>
            <w:tcW w:w="6518" w:type="dxa"/>
            <w:shd w:val="clear" w:color="auto" w:fill="00426F"/>
          </w:tcPr>
          <w:p w14:paraId="773C7421" w14:textId="77777777" w:rsidR="00005744" w:rsidRDefault="00005744" w:rsidP="00F140EA">
            <w:pPr>
              <w:pStyle w:val="TableParagraph"/>
              <w:spacing w:before="80"/>
              <w:ind w:left="118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</w:tr>
      <w:tr w:rsidR="00005744" w14:paraId="700CF131" w14:textId="77777777" w:rsidTr="001C79B8">
        <w:trPr>
          <w:trHeight w:val="319"/>
        </w:trPr>
        <w:tc>
          <w:tcPr>
            <w:tcW w:w="3122" w:type="dxa"/>
            <w:tcBorders>
              <w:bottom w:val="single" w:sz="6" w:space="0" w:color="A6A6A6" w:themeColor="background1" w:themeShade="A6"/>
            </w:tcBorders>
          </w:tcPr>
          <w:p w14:paraId="62CBF3B9" w14:textId="77777777" w:rsidR="00005744" w:rsidRDefault="00005744" w:rsidP="006946E7">
            <w:pPr>
              <w:pStyle w:val="TableParagraph"/>
              <w:spacing w:before="40" w:after="40"/>
              <w:ind w:left="1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State Outcome Overview </w:t>
            </w:r>
          </w:p>
        </w:tc>
        <w:tc>
          <w:tcPr>
            <w:tcW w:w="6518" w:type="dxa"/>
            <w:tcBorders>
              <w:bottom w:val="single" w:sz="6" w:space="0" w:color="A6A6A6" w:themeColor="background1" w:themeShade="A6"/>
            </w:tcBorders>
          </w:tcPr>
          <w:p w14:paraId="4551D95F" w14:textId="77777777" w:rsidR="00005744" w:rsidRDefault="00005744" w:rsidP="006946E7">
            <w:pPr>
              <w:pStyle w:val="TableParagraph"/>
              <w:spacing w:before="40" w:after="40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>A description of the State Outcome.</w:t>
            </w:r>
          </w:p>
        </w:tc>
      </w:tr>
      <w:tr w:rsidR="00005744" w14:paraId="52BA942C" w14:textId="77777777" w:rsidTr="001C79B8">
        <w:trPr>
          <w:trHeight w:val="319"/>
        </w:trPr>
        <w:tc>
          <w:tcPr>
            <w:tcW w:w="3122" w:type="dxa"/>
            <w:tcBorders>
              <w:bottom w:val="single" w:sz="6" w:space="0" w:color="A6A6A6" w:themeColor="background1" w:themeShade="A6"/>
            </w:tcBorders>
          </w:tcPr>
          <w:p w14:paraId="3B8DE348" w14:textId="77777777" w:rsidR="00005744" w:rsidRDefault="00005744" w:rsidP="006946E7">
            <w:pPr>
              <w:pStyle w:val="TableParagraph"/>
              <w:spacing w:before="40" w:after="40"/>
              <w:ind w:left="11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2020-21 Investment </w:t>
            </w:r>
          </w:p>
        </w:tc>
        <w:tc>
          <w:tcPr>
            <w:tcW w:w="6518" w:type="dxa"/>
            <w:tcBorders>
              <w:bottom w:val="single" w:sz="6" w:space="0" w:color="A6A6A6" w:themeColor="background1" w:themeShade="A6"/>
            </w:tcBorders>
          </w:tcPr>
          <w:p w14:paraId="4D550C02" w14:textId="3F53FC8B" w:rsidR="00005744" w:rsidRDefault="00005744" w:rsidP="006946E7">
            <w:pPr>
              <w:pStyle w:val="TableParagraph"/>
              <w:spacing w:before="40" w:after="40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 xml:space="preserve">This graphic depicts the amount of recurrent expenses and capital expenditure for the </w:t>
            </w:r>
            <w:r w:rsidR="007142B4">
              <w:rPr>
                <w:sz w:val="18"/>
              </w:rPr>
              <w:t>O</w:t>
            </w:r>
            <w:r>
              <w:rPr>
                <w:sz w:val="18"/>
              </w:rPr>
              <w:t>utcome.</w:t>
            </w:r>
          </w:p>
        </w:tc>
      </w:tr>
      <w:tr w:rsidR="00005744" w14:paraId="1A63B016" w14:textId="77777777" w:rsidTr="001C79B8">
        <w:trPr>
          <w:trHeight w:val="558"/>
        </w:trPr>
        <w:tc>
          <w:tcPr>
            <w:tcW w:w="3122" w:type="dxa"/>
            <w:tcBorders>
              <w:top w:val="single" w:sz="6" w:space="0" w:color="A6A6A6" w:themeColor="background1" w:themeShade="A6"/>
              <w:bottom w:val="single" w:sz="4" w:space="0" w:color="A6A6A6" w:themeColor="background1" w:themeShade="A6"/>
            </w:tcBorders>
          </w:tcPr>
          <w:p w14:paraId="5AD347F4" w14:textId="20800D4D" w:rsidR="00005744" w:rsidRDefault="00005744" w:rsidP="006946E7">
            <w:pPr>
              <w:pStyle w:val="TableParagraph"/>
              <w:spacing w:before="40" w:after="40" w:line="240" w:lineRule="atLeast"/>
              <w:ind w:left="119" w:right="10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2020-21 Budget </w:t>
            </w:r>
            <w:r w:rsidR="00220720"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t xml:space="preserve">ighlights </w:t>
            </w:r>
          </w:p>
        </w:tc>
        <w:tc>
          <w:tcPr>
            <w:tcW w:w="6518" w:type="dxa"/>
            <w:tcBorders>
              <w:top w:val="single" w:sz="6" w:space="0" w:color="A6A6A6" w:themeColor="background1" w:themeShade="A6"/>
              <w:bottom w:val="single" w:sz="4" w:space="0" w:color="A6A6A6" w:themeColor="background1" w:themeShade="A6"/>
            </w:tcBorders>
          </w:tcPr>
          <w:p w14:paraId="767C5206" w14:textId="34AB00F7" w:rsidR="00005744" w:rsidRDefault="00005744" w:rsidP="006946E7">
            <w:pPr>
              <w:pStyle w:val="TableParagraph"/>
              <w:spacing w:before="40" w:after="40"/>
              <w:ind w:left="119"/>
              <w:jc w:val="left"/>
              <w:rPr>
                <w:sz w:val="18"/>
              </w:rPr>
            </w:pPr>
            <w:r>
              <w:rPr>
                <w:sz w:val="18"/>
              </w:rPr>
              <w:t xml:space="preserve">Description of the significant new and ongoing initiatives the </w:t>
            </w:r>
            <w:r w:rsidR="004152E6">
              <w:rPr>
                <w:sz w:val="18"/>
              </w:rPr>
              <w:t>Cl</w:t>
            </w:r>
            <w:r>
              <w:rPr>
                <w:sz w:val="18"/>
              </w:rPr>
              <w:t xml:space="preserve">uster listed under the </w:t>
            </w:r>
            <w:r w:rsidR="007142B4">
              <w:rPr>
                <w:sz w:val="18"/>
              </w:rPr>
              <w:t>O</w:t>
            </w:r>
            <w:r>
              <w:rPr>
                <w:sz w:val="18"/>
              </w:rPr>
              <w:t xml:space="preserve">utcome </w:t>
            </w:r>
          </w:p>
        </w:tc>
      </w:tr>
      <w:tr w:rsidR="00005744" w14:paraId="15C766BF" w14:textId="77777777" w:rsidTr="001C79B8">
        <w:trPr>
          <w:trHeight w:val="561"/>
        </w:trPr>
        <w:tc>
          <w:tcPr>
            <w:tcW w:w="312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66F1DD" w14:textId="77777777" w:rsidR="00005744" w:rsidRDefault="00005744" w:rsidP="006946E7">
            <w:pPr>
              <w:pStyle w:val="TableParagraph"/>
              <w:spacing w:before="40" w:after="40" w:line="240" w:lineRule="atLeast"/>
              <w:ind w:left="119" w:right="2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Key performance insights </w:t>
            </w:r>
          </w:p>
        </w:tc>
        <w:tc>
          <w:tcPr>
            <w:tcW w:w="65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99C20" w14:textId="150BBA8E" w:rsidR="00670EBF" w:rsidRDefault="00005744" w:rsidP="001E79DC">
            <w:pPr>
              <w:pStyle w:val="TableParagraph"/>
              <w:spacing w:before="40" w:after="40"/>
              <w:ind w:left="119"/>
              <w:jc w:val="left"/>
              <w:rPr>
                <w:sz w:val="18"/>
                <w:szCs w:val="18"/>
              </w:rPr>
            </w:pPr>
            <w:r w:rsidRPr="2BE02E00">
              <w:rPr>
                <w:sz w:val="18"/>
                <w:szCs w:val="18"/>
              </w:rPr>
              <w:t xml:space="preserve">A short description and chart providing analysis and insights on performance of selected </w:t>
            </w:r>
            <w:r w:rsidR="007142B4">
              <w:rPr>
                <w:sz w:val="18"/>
                <w:szCs w:val="18"/>
              </w:rPr>
              <w:t>O</w:t>
            </w:r>
            <w:r w:rsidRPr="2BE02E00">
              <w:rPr>
                <w:sz w:val="18"/>
                <w:szCs w:val="18"/>
              </w:rPr>
              <w:t xml:space="preserve">utcome </w:t>
            </w:r>
            <w:r w:rsidR="007142B4">
              <w:rPr>
                <w:sz w:val="18"/>
                <w:szCs w:val="18"/>
              </w:rPr>
              <w:t>I</w:t>
            </w:r>
            <w:r w:rsidRPr="2BE02E00">
              <w:rPr>
                <w:sz w:val="18"/>
                <w:szCs w:val="18"/>
              </w:rPr>
              <w:t xml:space="preserve">ndicators.  </w:t>
            </w:r>
          </w:p>
        </w:tc>
      </w:tr>
      <w:tr w:rsidR="00005744" w14:paraId="4ABB2E66" w14:textId="77777777" w:rsidTr="001C79B8">
        <w:trPr>
          <w:trHeight w:val="561"/>
        </w:trPr>
        <w:tc>
          <w:tcPr>
            <w:tcW w:w="3122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14:paraId="1DBD6F40" w14:textId="276D2626" w:rsidR="00005744" w:rsidRDefault="008D3CD7" w:rsidP="006946E7">
            <w:pPr>
              <w:pStyle w:val="TableParagraph"/>
              <w:spacing w:before="40" w:after="40" w:line="240" w:lineRule="atLeast"/>
              <w:ind w:left="119" w:right="29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 w:rsidR="00005744">
              <w:rPr>
                <w:b/>
                <w:sz w:val="18"/>
              </w:rPr>
              <w:t xml:space="preserve">erformance indicators for this </w:t>
            </w:r>
            <w:r w:rsidR="00220720">
              <w:rPr>
                <w:b/>
                <w:sz w:val="18"/>
              </w:rPr>
              <w:t>O</w:t>
            </w:r>
            <w:r w:rsidR="00005744">
              <w:rPr>
                <w:b/>
                <w:sz w:val="18"/>
              </w:rPr>
              <w:t xml:space="preserve">utcome  </w:t>
            </w:r>
          </w:p>
        </w:tc>
        <w:tc>
          <w:tcPr>
            <w:tcW w:w="6518" w:type="dxa"/>
            <w:tcBorders>
              <w:top w:val="single" w:sz="4" w:space="0" w:color="A6A6A6" w:themeColor="background1" w:themeShade="A6"/>
              <w:bottom w:val="single" w:sz="4" w:space="0" w:color="000000" w:themeColor="text1"/>
            </w:tcBorders>
          </w:tcPr>
          <w:p w14:paraId="0761B721" w14:textId="2ADC4019" w:rsidR="00005744" w:rsidRDefault="00005744" w:rsidP="006946E7">
            <w:pPr>
              <w:pStyle w:val="TableParagraph"/>
              <w:spacing w:before="40" w:after="40"/>
              <w:ind w:left="119"/>
              <w:jc w:val="left"/>
              <w:rPr>
                <w:sz w:val="18"/>
                <w:szCs w:val="18"/>
              </w:rPr>
            </w:pPr>
            <w:r w:rsidRPr="1F89FA8E">
              <w:rPr>
                <w:sz w:val="18"/>
                <w:szCs w:val="18"/>
              </w:rPr>
              <w:t xml:space="preserve">Information on the performance of </w:t>
            </w:r>
            <w:r w:rsidR="007142B4">
              <w:rPr>
                <w:sz w:val="18"/>
                <w:szCs w:val="18"/>
              </w:rPr>
              <w:t>O</w:t>
            </w:r>
            <w:r w:rsidRPr="1F89FA8E">
              <w:rPr>
                <w:sz w:val="18"/>
                <w:szCs w:val="18"/>
              </w:rPr>
              <w:t xml:space="preserve">utcome </w:t>
            </w:r>
            <w:r w:rsidR="007142B4">
              <w:rPr>
                <w:sz w:val="18"/>
                <w:szCs w:val="18"/>
              </w:rPr>
              <w:t>I</w:t>
            </w:r>
            <w:r w:rsidRPr="1F89FA8E">
              <w:rPr>
                <w:sz w:val="18"/>
                <w:szCs w:val="18"/>
              </w:rPr>
              <w:t xml:space="preserve">ndicators for the </w:t>
            </w:r>
            <w:r w:rsidR="007142B4">
              <w:rPr>
                <w:sz w:val="18"/>
                <w:szCs w:val="18"/>
              </w:rPr>
              <w:t>O</w:t>
            </w:r>
            <w:r w:rsidRPr="1F89FA8E">
              <w:rPr>
                <w:sz w:val="18"/>
                <w:szCs w:val="18"/>
              </w:rPr>
              <w:t>utcome.</w:t>
            </w:r>
          </w:p>
        </w:tc>
      </w:tr>
    </w:tbl>
    <w:p w14:paraId="71A20C44" w14:textId="6CF6D24B" w:rsidR="000A30FF" w:rsidRPr="000A30FF" w:rsidRDefault="000A30FF" w:rsidP="00DC4E5D">
      <w:pPr>
        <w:widowControl/>
        <w:autoSpaceDE/>
        <w:autoSpaceDN/>
        <w:spacing w:after="160" w:line="259" w:lineRule="auto"/>
      </w:pPr>
    </w:p>
    <w:sectPr w:rsidR="000A30FF" w:rsidRPr="000A30FF" w:rsidSect="00030B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454" w:footer="454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54B96" w14:textId="77777777" w:rsidR="00CB4811" w:rsidRDefault="00CB4811" w:rsidP="00637B53">
      <w:r>
        <w:separator/>
      </w:r>
    </w:p>
  </w:endnote>
  <w:endnote w:type="continuationSeparator" w:id="0">
    <w:p w14:paraId="34BE88A3" w14:textId="77777777" w:rsidR="00CB4811" w:rsidRDefault="00CB4811" w:rsidP="00637B53">
      <w:r>
        <w:continuationSeparator/>
      </w:r>
    </w:p>
  </w:endnote>
  <w:endnote w:type="continuationNotice" w:id="1">
    <w:p w14:paraId="08D1A40B" w14:textId="77777777" w:rsidR="00CB4811" w:rsidRDefault="00CB48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CE04" w14:textId="6B56EAD5" w:rsidR="00030BF0" w:rsidRDefault="00FF2CAA" w:rsidP="00030BF0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rFonts w:eastAsia="Arial Unicode MS"/>
        <w:sz w:val="18"/>
        <w:szCs w:val="18"/>
      </w:rPr>
    </w:pPr>
    <w:r w:rsidRPr="00515FBC">
      <w:rPr>
        <w:sz w:val="18"/>
        <w:szCs w:val="18"/>
      </w:rPr>
      <w:fldChar w:fldCharType="begin"/>
    </w:r>
    <w:r w:rsidRPr="00515FBC">
      <w:rPr>
        <w:sz w:val="18"/>
        <w:szCs w:val="18"/>
      </w:rPr>
      <w:instrText xml:space="preserve"> PAGE  \* MERGEFORMAT </w:instrText>
    </w:r>
    <w:r w:rsidRPr="00515FBC">
      <w:rPr>
        <w:sz w:val="18"/>
        <w:szCs w:val="18"/>
      </w:rPr>
      <w:fldChar w:fldCharType="separate"/>
    </w:r>
    <w:r>
      <w:rPr>
        <w:sz w:val="18"/>
        <w:szCs w:val="18"/>
      </w:rPr>
      <w:t>ii</w:t>
    </w:r>
    <w:r w:rsidRPr="00515FB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030BF0">
      <w:rPr>
        <w:rFonts w:eastAsia="Arial Unicode MS"/>
        <w:sz w:val="18"/>
        <w:szCs w:val="18"/>
      </w:rPr>
      <w:t>Outcomes Statement 2020-21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A2F3" w14:textId="258A9464" w:rsidR="00D27B72" w:rsidRPr="00EA7067" w:rsidRDefault="00D27B72" w:rsidP="00D27B72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rFonts w:eastAsia="Arial Unicode MS"/>
        <w:sz w:val="18"/>
        <w:szCs w:val="18"/>
      </w:rPr>
    </w:pPr>
    <w:r>
      <w:rPr>
        <w:rFonts w:eastAsia="Arial Unicode MS"/>
        <w:sz w:val="18"/>
        <w:szCs w:val="18"/>
      </w:rPr>
      <w:t>Outcomes Statement 2020-21</w:t>
    </w:r>
    <w:r w:rsidR="00FF2CAA">
      <w:rPr>
        <w:rFonts w:eastAsia="Arial Unicode MS"/>
        <w:sz w:val="18"/>
        <w:szCs w:val="18"/>
      </w:rPr>
      <w:tab/>
    </w:r>
    <w:r w:rsidR="00FF2CAA" w:rsidRPr="00515FBC">
      <w:rPr>
        <w:sz w:val="18"/>
        <w:szCs w:val="18"/>
      </w:rPr>
      <w:fldChar w:fldCharType="begin"/>
    </w:r>
    <w:r w:rsidR="00FF2CAA" w:rsidRPr="00515FBC">
      <w:rPr>
        <w:sz w:val="18"/>
        <w:szCs w:val="18"/>
      </w:rPr>
      <w:instrText xml:space="preserve"> PAGE  \* MERGEFORMAT </w:instrText>
    </w:r>
    <w:r w:rsidR="00FF2CAA" w:rsidRPr="00515FBC">
      <w:rPr>
        <w:sz w:val="18"/>
        <w:szCs w:val="18"/>
      </w:rPr>
      <w:fldChar w:fldCharType="separate"/>
    </w:r>
    <w:r w:rsidR="00FF2CAA">
      <w:rPr>
        <w:sz w:val="18"/>
        <w:szCs w:val="18"/>
      </w:rPr>
      <w:t>iii</w:t>
    </w:r>
    <w:r w:rsidR="00FF2CAA" w:rsidRPr="00515FBC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DE51A" w14:textId="14EDB2FB" w:rsidR="00030BF0" w:rsidRPr="009A176F" w:rsidRDefault="00030BF0" w:rsidP="00030BF0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rFonts w:eastAsia="Arial Unicode MS"/>
        <w:sz w:val="18"/>
        <w:szCs w:val="18"/>
      </w:rPr>
    </w:pPr>
    <w:r>
      <w:rPr>
        <w:rFonts w:eastAsia="Arial Unicode MS"/>
        <w:sz w:val="18"/>
        <w:szCs w:val="18"/>
      </w:rPr>
      <w:t>Outcomes Statement 2020-21</w:t>
    </w:r>
    <w:r>
      <w:rPr>
        <w:rFonts w:eastAsia="Arial Unicode MS"/>
        <w:sz w:val="18"/>
        <w:szCs w:val="18"/>
      </w:rPr>
      <w:tab/>
    </w:r>
    <w:r w:rsidRPr="00515FBC">
      <w:rPr>
        <w:sz w:val="18"/>
        <w:szCs w:val="18"/>
      </w:rPr>
      <w:fldChar w:fldCharType="begin"/>
    </w:r>
    <w:r w:rsidRPr="00515FBC">
      <w:rPr>
        <w:sz w:val="18"/>
        <w:szCs w:val="18"/>
      </w:rPr>
      <w:instrText xml:space="preserve"> PAGE  \* MERGEFORMAT </w:instrText>
    </w:r>
    <w:r w:rsidRPr="00515FBC">
      <w:rPr>
        <w:sz w:val="18"/>
        <w:szCs w:val="18"/>
      </w:rPr>
      <w:fldChar w:fldCharType="separate"/>
    </w:r>
    <w:r>
      <w:rPr>
        <w:sz w:val="18"/>
        <w:szCs w:val="18"/>
      </w:rPr>
      <w:t>iii</w:t>
    </w:r>
    <w:r w:rsidRPr="00515FB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EBC3E" w14:textId="77777777" w:rsidR="00CB4811" w:rsidRDefault="00CB4811" w:rsidP="00637B53">
      <w:r>
        <w:separator/>
      </w:r>
    </w:p>
  </w:footnote>
  <w:footnote w:type="continuationSeparator" w:id="0">
    <w:p w14:paraId="2562DE26" w14:textId="77777777" w:rsidR="00CB4811" w:rsidRDefault="00CB4811" w:rsidP="00637B53">
      <w:r>
        <w:continuationSeparator/>
      </w:r>
    </w:p>
  </w:footnote>
  <w:footnote w:type="continuationNotice" w:id="1">
    <w:p w14:paraId="2A414D2D" w14:textId="77777777" w:rsidR="00CB4811" w:rsidRDefault="00CB48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B5F50" w14:textId="655F25CD" w:rsidR="00030BF0" w:rsidRPr="00030BF0" w:rsidRDefault="00030BF0" w:rsidP="004474AB">
    <w:pPr>
      <w:pBdr>
        <w:bottom w:val="single" w:sz="4" w:space="4" w:color="auto"/>
      </w:pBdr>
      <w:tabs>
        <w:tab w:val="center" w:pos="4153"/>
        <w:tab w:val="right" w:pos="8306"/>
      </w:tabs>
      <w:spacing w:line="192" w:lineRule="auto"/>
      <w:contextualSpacing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About this Budget Paper</w:t>
    </w:r>
  </w:p>
  <w:p w14:paraId="122530BE" w14:textId="4059BE6D" w:rsidR="004561A5" w:rsidRDefault="00456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51AE5" w14:textId="0E3A12A3" w:rsidR="004F4CF0" w:rsidRPr="00030BF0" w:rsidRDefault="00030BF0" w:rsidP="004474AB">
    <w:pPr>
      <w:pBdr>
        <w:bottom w:val="single" w:sz="4" w:space="4" w:color="auto"/>
      </w:pBdr>
      <w:tabs>
        <w:tab w:val="center" w:pos="4153"/>
        <w:tab w:val="right" w:pos="8306"/>
      </w:tabs>
      <w:spacing w:line="192" w:lineRule="auto"/>
      <w:ind w:left="4153" w:hanging="4153"/>
      <w:contextualSpacing/>
      <w:jc w:val="right"/>
      <w:rPr>
        <w:rFonts w:eastAsia="Calibri"/>
        <w:sz w:val="18"/>
        <w:szCs w:val="18"/>
      </w:rPr>
    </w:pPr>
    <w:r>
      <w:rPr>
        <w:rFonts w:eastAsia="Calibri"/>
        <w:sz w:val="18"/>
        <w:szCs w:val="18"/>
      </w:rPr>
      <w:t>About this Budget Paper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45A3" w14:textId="2BC2A5CB" w:rsidR="00D030E9" w:rsidRDefault="00D03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074F"/>
    <w:multiLevelType w:val="hybridMultilevel"/>
    <w:tmpl w:val="0256E2E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CA29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6A55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FC14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1094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AAA5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BCA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16F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16E5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47F75EB"/>
    <w:multiLevelType w:val="hybridMultilevel"/>
    <w:tmpl w:val="35A217E4"/>
    <w:lvl w:ilvl="0" w:tplc="F188AAAC">
      <w:numFmt w:val="bullet"/>
      <w:lvlText w:val=""/>
      <w:lvlJc w:val="left"/>
      <w:pPr>
        <w:ind w:left="583" w:hanging="35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1806143C">
      <w:numFmt w:val="bullet"/>
      <w:lvlText w:val="•"/>
      <w:lvlJc w:val="left"/>
      <w:pPr>
        <w:ind w:left="1136" w:hanging="356"/>
      </w:pPr>
      <w:rPr>
        <w:rFonts w:hint="default"/>
      </w:rPr>
    </w:lvl>
    <w:lvl w:ilvl="2" w:tplc="898663AE">
      <w:numFmt w:val="bullet"/>
      <w:lvlText w:val="•"/>
      <w:lvlJc w:val="left"/>
      <w:pPr>
        <w:ind w:left="1693" w:hanging="356"/>
      </w:pPr>
      <w:rPr>
        <w:rFonts w:hint="default"/>
      </w:rPr>
    </w:lvl>
    <w:lvl w:ilvl="3" w:tplc="83D2A5B4">
      <w:numFmt w:val="bullet"/>
      <w:lvlText w:val="•"/>
      <w:lvlJc w:val="left"/>
      <w:pPr>
        <w:ind w:left="2250" w:hanging="356"/>
      </w:pPr>
      <w:rPr>
        <w:rFonts w:hint="default"/>
      </w:rPr>
    </w:lvl>
    <w:lvl w:ilvl="4" w:tplc="634A63D0">
      <w:numFmt w:val="bullet"/>
      <w:lvlText w:val="•"/>
      <w:lvlJc w:val="left"/>
      <w:pPr>
        <w:ind w:left="2807" w:hanging="356"/>
      </w:pPr>
      <w:rPr>
        <w:rFonts w:hint="default"/>
      </w:rPr>
    </w:lvl>
    <w:lvl w:ilvl="5" w:tplc="AFE0ACA4">
      <w:numFmt w:val="bullet"/>
      <w:lvlText w:val="•"/>
      <w:lvlJc w:val="left"/>
      <w:pPr>
        <w:ind w:left="3364" w:hanging="356"/>
      </w:pPr>
      <w:rPr>
        <w:rFonts w:hint="default"/>
      </w:rPr>
    </w:lvl>
    <w:lvl w:ilvl="6" w:tplc="7D966182">
      <w:numFmt w:val="bullet"/>
      <w:lvlText w:val="•"/>
      <w:lvlJc w:val="left"/>
      <w:pPr>
        <w:ind w:left="3921" w:hanging="356"/>
      </w:pPr>
      <w:rPr>
        <w:rFonts w:hint="default"/>
      </w:rPr>
    </w:lvl>
    <w:lvl w:ilvl="7" w:tplc="29983810">
      <w:numFmt w:val="bullet"/>
      <w:lvlText w:val="•"/>
      <w:lvlJc w:val="left"/>
      <w:pPr>
        <w:ind w:left="4478" w:hanging="356"/>
      </w:pPr>
      <w:rPr>
        <w:rFonts w:hint="default"/>
      </w:rPr>
    </w:lvl>
    <w:lvl w:ilvl="8" w:tplc="4334771A">
      <w:numFmt w:val="bullet"/>
      <w:lvlText w:val="•"/>
      <w:lvlJc w:val="left"/>
      <w:pPr>
        <w:ind w:left="5035" w:hanging="356"/>
      </w:pPr>
      <w:rPr>
        <w:rFonts w:hint="default"/>
      </w:rPr>
    </w:lvl>
  </w:abstractNum>
  <w:abstractNum w:abstractNumId="2" w15:restartNumberingAfterBreak="0">
    <w:nsid w:val="1EEB64C6"/>
    <w:multiLevelType w:val="hybridMultilevel"/>
    <w:tmpl w:val="8B301616"/>
    <w:lvl w:ilvl="0" w:tplc="B2BED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2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6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AF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86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2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AE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C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4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9E35A2"/>
    <w:multiLevelType w:val="hybridMultilevel"/>
    <w:tmpl w:val="8F80BDF6"/>
    <w:lvl w:ilvl="0" w:tplc="0C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329B15FE"/>
    <w:multiLevelType w:val="hybridMultilevel"/>
    <w:tmpl w:val="B9E86E80"/>
    <w:lvl w:ilvl="0" w:tplc="B15A7094">
      <w:numFmt w:val="bullet"/>
      <w:lvlText w:val=""/>
      <w:lvlJc w:val="left"/>
      <w:pPr>
        <w:ind w:left="509" w:hanging="35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56E612E6">
      <w:numFmt w:val="bullet"/>
      <w:lvlText w:val="•"/>
      <w:lvlJc w:val="left"/>
      <w:pPr>
        <w:ind w:left="1057" w:hanging="356"/>
      </w:pPr>
      <w:rPr>
        <w:rFonts w:hint="default"/>
      </w:rPr>
    </w:lvl>
    <w:lvl w:ilvl="2" w:tplc="6C9AEF50">
      <w:numFmt w:val="bullet"/>
      <w:lvlText w:val="•"/>
      <w:lvlJc w:val="left"/>
      <w:pPr>
        <w:ind w:left="1614" w:hanging="356"/>
      </w:pPr>
      <w:rPr>
        <w:rFonts w:hint="default"/>
      </w:rPr>
    </w:lvl>
    <w:lvl w:ilvl="3" w:tplc="99CED866">
      <w:numFmt w:val="bullet"/>
      <w:lvlText w:val="•"/>
      <w:lvlJc w:val="left"/>
      <w:pPr>
        <w:ind w:left="2172" w:hanging="356"/>
      </w:pPr>
      <w:rPr>
        <w:rFonts w:hint="default"/>
      </w:rPr>
    </w:lvl>
    <w:lvl w:ilvl="4" w:tplc="53DCA44A">
      <w:numFmt w:val="bullet"/>
      <w:lvlText w:val="•"/>
      <w:lvlJc w:val="left"/>
      <w:pPr>
        <w:ind w:left="2729" w:hanging="356"/>
      </w:pPr>
      <w:rPr>
        <w:rFonts w:hint="default"/>
      </w:rPr>
    </w:lvl>
    <w:lvl w:ilvl="5" w:tplc="1DF6D946">
      <w:numFmt w:val="bullet"/>
      <w:lvlText w:val="•"/>
      <w:lvlJc w:val="left"/>
      <w:pPr>
        <w:ind w:left="3287" w:hanging="356"/>
      </w:pPr>
      <w:rPr>
        <w:rFonts w:hint="default"/>
      </w:rPr>
    </w:lvl>
    <w:lvl w:ilvl="6" w:tplc="D3702C84">
      <w:numFmt w:val="bullet"/>
      <w:lvlText w:val="•"/>
      <w:lvlJc w:val="left"/>
      <w:pPr>
        <w:ind w:left="3844" w:hanging="356"/>
      </w:pPr>
      <w:rPr>
        <w:rFonts w:hint="default"/>
      </w:rPr>
    </w:lvl>
    <w:lvl w:ilvl="7" w:tplc="2928543E">
      <w:numFmt w:val="bullet"/>
      <w:lvlText w:val="•"/>
      <w:lvlJc w:val="left"/>
      <w:pPr>
        <w:ind w:left="4401" w:hanging="356"/>
      </w:pPr>
      <w:rPr>
        <w:rFonts w:hint="default"/>
      </w:rPr>
    </w:lvl>
    <w:lvl w:ilvl="8" w:tplc="492EBEC8">
      <w:numFmt w:val="bullet"/>
      <w:lvlText w:val="•"/>
      <w:lvlJc w:val="left"/>
      <w:pPr>
        <w:ind w:left="4959" w:hanging="356"/>
      </w:pPr>
      <w:rPr>
        <w:rFonts w:hint="default"/>
      </w:rPr>
    </w:lvl>
  </w:abstractNum>
  <w:abstractNum w:abstractNumId="5" w15:restartNumberingAfterBreak="0">
    <w:nsid w:val="382517B4"/>
    <w:multiLevelType w:val="hybridMultilevel"/>
    <w:tmpl w:val="0262CEEA"/>
    <w:lvl w:ilvl="0" w:tplc="73A60B8A">
      <w:numFmt w:val="bullet"/>
      <w:lvlText w:val=""/>
      <w:lvlJc w:val="left"/>
      <w:pPr>
        <w:ind w:left="543" w:hanging="35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3176E00C">
      <w:numFmt w:val="bullet"/>
      <w:lvlText w:val="•"/>
      <w:lvlJc w:val="left"/>
      <w:pPr>
        <w:ind w:left="1107" w:hanging="356"/>
      </w:pPr>
      <w:rPr>
        <w:rFonts w:hint="default"/>
      </w:rPr>
    </w:lvl>
    <w:lvl w:ilvl="2" w:tplc="DA244044">
      <w:numFmt w:val="bullet"/>
      <w:lvlText w:val="•"/>
      <w:lvlJc w:val="left"/>
      <w:pPr>
        <w:ind w:left="1675" w:hanging="356"/>
      </w:pPr>
      <w:rPr>
        <w:rFonts w:hint="default"/>
      </w:rPr>
    </w:lvl>
    <w:lvl w:ilvl="3" w:tplc="D6EC9664">
      <w:numFmt w:val="bullet"/>
      <w:lvlText w:val="•"/>
      <w:lvlJc w:val="left"/>
      <w:pPr>
        <w:ind w:left="2242" w:hanging="356"/>
      </w:pPr>
      <w:rPr>
        <w:rFonts w:hint="default"/>
      </w:rPr>
    </w:lvl>
    <w:lvl w:ilvl="4" w:tplc="09D8E2A0">
      <w:numFmt w:val="bullet"/>
      <w:lvlText w:val="•"/>
      <w:lvlJc w:val="left"/>
      <w:pPr>
        <w:ind w:left="2810" w:hanging="356"/>
      </w:pPr>
      <w:rPr>
        <w:rFonts w:hint="default"/>
      </w:rPr>
    </w:lvl>
    <w:lvl w:ilvl="5" w:tplc="B510C8C4">
      <w:numFmt w:val="bullet"/>
      <w:lvlText w:val="•"/>
      <w:lvlJc w:val="left"/>
      <w:pPr>
        <w:ind w:left="3377" w:hanging="356"/>
      </w:pPr>
      <w:rPr>
        <w:rFonts w:hint="default"/>
      </w:rPr>
    </w:lvl>
    <w:lvl w:ilvl="6" w:tplc="864209C6">
      <w:numFmt w:val="bullet"/>
      <w:lvlText w:val="•"/>
      <w:lvlJc w:val="left"/>
      <w:pPr>
        <w:ind w:left="3945" w:hanging="356"/>
      </w:pPr>
      <w:rPr>
        <w:rFonts w:hint="default"/>
      </w:rPr>
    </w:lvl>
    <w:lvl w:ilvl="7" w:tplc="5A1AF938">
      <w:numFmt w:val="bullet"/>
      <w:lvlText w:val="•"/>
      <w:lvlJc w:val="left"/>
      <w:pPr>
        <w:ind w:left="4512" w:hanging="356"/>
      </w:pPr>
      <w:rPr>
        <w:rFonts w:hint="default"/>
      </w:rPr>
    </w:lvl>
    <w:lvl w:ilvl="8" w:tplc="7CB0CF6A">
      <w:numFmt w:val="bullet"/>
      <w:lvlText w:val="•"/>
      <w:lvlJc w:val="left"/>
      <w:pPr>
        <w:ind w:left="5080" w:hanging="356"/>
      </w:pPr>
      <w:rPr>
        <w:rFonts w:hint="default"/>
      </w:rPr>
    </w:lvl>
  </w:abstractNum>
  <w:abstractNum w:abstractNumId="6" w15:restartNumberingAfterBreak="0">
    <w:nsid w:val="3F7538A8"/>
    <w:multiLevelType w:val="hybridMultilevel"/>
    <w:tmpl w:val="8F72753E"/>
    <w:lvl w:ilvl="0" w:tplc="567E7138">
      <w:start w:val="1"/>
      <w:numFmt w:val="decimal"/>
      <w:lvlText w:val="%1."/>
      <w:lvlJc w:val="left"/>
      <w:pPr>
        <w:ind w:left="580" w:hanging="428"/>
      </w:pPr>
      <w:rPr>
        <w:rFonts w:ascii="Arial" w:eastAsia="Arial" w:hAnsi="Arial" w:cs="Arial" w:hint="default"/>
        <w:spacing w:val="0"/>
        <w:w w:val="100"/>
        <w:sz w:val="23"/>
        <w:szCs w:val="23"/>
      </w:rPr>
    </w:lvl>
    <w:lvl w:ilvl="1" w:tplc="11BEEE62">
      <w:numFmt w:val="bullet"/>
      <w:lvlText w:val="•"/>
      <w:lvlJc w:val="left"/>
      <w:pPr>
        <w:ind w:left="1526" w:hanging="428"/>
      </w:pPr>
      <w:rPr>
        <w:rFonts w:hint="default"/>
      </w:rPr>
    </w:lvl>
    <w:lvl w:ilvl="2" w:tplc="A36AA3E2">
      <w:numFmt w:val="bullet"/>
      <w:lvlText w:val="•"/>
      <w:lvlJc w:val="left"/>
      <w:pPr>
        <w:ind w:left="2473" w:hanging="428"/>
      </w:pPr>
      <w:rPr>
        <w:rFonts w:hint="default"/>
      </w:rPr>
    </w:lvl>
    <w:lvl w:ilvl="3" w:tplc="A5CE407C">
      <w:numFmt w:val="bullet"/>
      <w:lvlText w:val="•"/>
      <w:lvlJc w:val="left"/>
      <w:pPr>
        <w:ind w:left="3419" w:hanging="428"/>
      </w:pPr>
      <w:rPr>
        <w:rFonts w:hint="default"/>
      </w:rPr>
    </w:lvl>
    <w:lvl w:ilvl="4" w:tplc="5BF05DC6">
      <w:numFmt w:val="bullet"/>
      <w:lvlText w:val="•"/>
      <w:lvlJc w:val="left"/>
      <w:pPr>
        <w:ind w:left="4366" w:hanging="428"/>
      </w:pPr>
      <w:rPr>
        <w:rFonts w:hint="default"/>
      </w:rPr>
    </w:lvl>
    <w:lvl w:ilvl="5" w:tplc="08645F38">
      <w:numFmt w:val="bullet"/>
      <w:lvlText w:val="•"/>
      <w:lvlJc w:val="left"/>
      <w:pPr>
        <w:ind w:left="5313" w:hanging="428"/>
      </w:pPr>
      <w:rPr>
        <w:rFonts w:hint="default"/>
      </w:rPr>
    </w:lvl>
    <w:lvl w:ilvl="6" w:tplc="6DB66EDA">
      <w:numFmt w:val="bullet"/>
      <w:lvlText w:val="•"/>
      <w:lvlJc w:val="left"/>
      <w:pPr>
        <w:ind w:left="6259" w:hanging="428"/>
      </w:pPr>
      <w:rPr>
        <w:rFonts w:hint="default"/>
      </w:rPr>
    </w:lvl>
    <w:lvl w:ilvl="7" w:tplc="2B58486A">
      <w:numFmt w:val="bullet"/>
      <w:lvlText w:val="•"/>
      <w:lvlJc w:val="left"/>
      <w:pPr>
        <w:ind w:left="7206" w:hanging="428"/>
      </w:pPr>
      <w:rPr>
        <w:rFonts w:hint="default"/>
      </w:rPr>
    </w:lvl>
    <w:lvl w:ilvl="8" w:tplc="8AA8DADA">
      <w:numFmt w:val="bullet"/>
      <w:lvlText w:val="•"/>
      <w:lvlJc w:val="left"/>
      <w:pPr>
        <w:ind w:left="8153" w:hanging="428"/>
      </w:pPr>
      <w:rPr>
        <w:rFonts w:hint="default"/>
      </w:rPr>
    </w:lvl>
  </w:abstractNum>
  <w:abstractNum w:abstractNumId="7" w15:restartNumberingAfterBreak="0">
    <w:nsid w:val="46185296"/>
    <w:multiLevelType w:val="hybridMultilevel"/>
    <w:tmpl w:val="0B146574"/>
    <w:lvl w:ilvl="0" w:tplc="8C88BA20">
      <w:numFmt w:val="bullet"/>
      <w:lvlText w:val=""/>
      <w:lvlJc w:val="left"/>
      <w:pPr>
        <w:ind w:left="508" w:hanging="356"/>
      </w:pPr>
      <w:rPr>
        <w:rFonts w:hint="default"/>
        <w:w w:val="100"/>
      </w:rPr>
    </w:lvl>
    <w:lvl w:ilvl="1" w:tplc="D8E2152C">
      <w:numFmt w:val="bullet"/>
      <w:lvlText w:val=""/>
      <w:lvlJc w:val="left"/>
      <w:pPr>
        <w:ind w:left="1247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A0A68AA8">
      <w:numFmt w:val="bullet"/>
      <w:lvlText w:val="•"/>
      <w:lvlJc w:val="left"/>
      <w:pPr>
        <w:ind w:left="2218" w:hanging="358"/>
      </w:pPr>
      <w:rPr>
        <w:rFonts w:hint="default"/>
      </w:rPr>
    </w:lvl>
    <w:lvl w:ilvl="3" w:tplc="E5463FF2">
      <w:numFmt w:val="bullet"/>
      <w:lvlText w:val="•"/>
      <w:lvlJc w:val="left"/>
      <w:pPr>
        <w:ind w:left="3196" w:hanging="358"/>
      </w:pPr>
      <w:rPr>
        <w:rFonts w:hint="default"/>
      </w:rPr>
    </w:lvl>
    <w:lvl w:ilvl="4" w:tplc="8028E0DE">
      <w:numFmt w:val="bullet"/>
      <w:lvlText w:val="•"/>
      <w:lvlJc w:val="left"/>
      <w:pPr>
        <w:ind w:left="4175" w:hanging="358"/>
      </w:pPr>
      <w:rPr>
        <w:rFonts w:hint="default"/>
      </w:rPr>
    </w:lvl>
    <w:lvl w:ilvl="5" w:tplc="54CA1EB6">
      <w:numFmt w:val="bullet"/>
      <w:lvlText w:val="•"/>
      <w:lvlJc w:val="left"/>
      <w:pPr>
        <w:ind w:left="5153" w:hanging="358"/>
      </w:pPr>
      <w:rPr>
        <w:rFonts w:hint="default"/>
      </w:rPr>
    </w:lvl>
    <w:lvl w:ilvl="6" w:tplc="7FF8C77E">
      <w:numFmt w:val="bullet"/>
      <w:lvlText w:val="•"/>
      <w:lvlJc w:val="left"/>
      <w:pPr>
        <w:ind w:left="6132" w:hanging="358"/>
      </w:pPr>
      <w:rPr>
        <w:rFonts w:hint="default"/>
      </w:rPr>
    </w:lvl>
    <w:lvl w:ilvl="7" w:tplc="A4F258D8">
      <w:numFmt w:val="bullet"/>
      <w:lvlText w:val="•"/>
      <w:lvlJc w:val="left"/>
      <w:pPr>
        <w:ind w:left="7110" w:hanging="358"/>
      </w:pPr>
      <w:rPr>
        <w:rFonts w:hint="default"/>
      </w:rPr>
    </w:lvl>
    <w:lvl w:ilvl="8" w:tplc="F13AC210">
      <w:numFmt w:val="bullet"/>
      <w:lvlText w:val="•"/>
      <w:lvlJc w:val="left"/>
      <w:pPr>
        <w:ind w:left="8089" w:hanging="358"/>
      </w:pPr>
      <w:rPr>
        <w:rFonts w:hint="default"/>
      </w:rPr>
    </w:lvl>
  </w:abstractNum>
  <w:abstractNum w:abstractNumId="8" w15:restartNumberingAfterBreak="0">
    <w:nsid w:val="52735551"/>
    <w:multiLevelType w:val="hybridMultilevel"/>
    <w:tmpl w:val="78747C98"/>
    <w:lvl w:ilvl="0" w:tplc="3506B1DA">
      <w:numFmt w:val="bullet"/>
      <w:lvlText w:val=""/>
      <w:lvlJc w:val="left"/>
      <w:pPr>
        <w:ind w:left="968" w:hanging="35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8D9E64F0">
      <w:numFmt w:val="bullet"/>
      <w:lvlText w:val="•"/>
      <w:lvlJc w:val="left"/>
      <w:pPr>
        <w:ind w:left="1517" w:hanging="356"/>
      </w:pPr>
      <w:rPr>
        <w:rFonts w:hint="default"/>
      </w:rPr>
    </w:lvl>
    <w:lvl w:ilvl="2" w:tplc="B06CB526">
      <w:numFmt w:val="bullet"/>
      <w:lvlText w:val="•"/>
      <w:lvlJc w:val="left"/>
      <w:pPr>
        <w:ind w:left="2074" w:hanging="356"/>
      </w:pPr>
      <w:rPr>
        <w:rFonts w:hint="default"/>
      </w:rPr>
    </w:lvl>
    <w:lvl w:ilvl="3" w:tplc="E4901480">
      <w:numFmt w:val="bullet"/>
      <w:lvlText w:val="•"/>
      <w:lvlJc w:val="left"/>
      <w:pPr>
        <w:ind w:left="2631" w:hanging="356"/>
      </w:pPr>
      <w:rPr>
        <w:rFonts w:hint="default"/>
      </w:rPr>
    </w:lvl>
    <w:lvl w:ilvl="4" w:tplc="BC408300">
      <w:numFmt w:val="bullet"/>
      <w:lvlText w:val="•"/>
      <w:lvlJc w:val="left"/>
      <w:pPr>
        <w:ind w:left="3189" w:hanging="356"/>
      </w:pPr>
      <w:rPr>
        <w:rFonts w:hint="default"/>
      </w:rPr>
    </w:lvl>
    <w:lvl w:ilvl="5" w:tplc="0EECD996">
      <w:numFmt w:val="bullet"/>
      <w:lvlText w:val="•"/>
      <w:lvlJc w:val="left"/>
      <w:pPr>
        <w:ind w:left="3746" w:hanging="356"/>
      </w:pPr>
      <w:rPr>
        <w:rFonts w:hint="default"/>
      </w:rPr>
    </w:lvl>
    <w:lvl w:ilvl="6" w:tplc="E7A4014E">
      <w:numFmt w:val="bullet"/>
      <w:lvlText w:val="•"/>
      <w:lvlJc w:val="left"/>
      <w:pPr>
        <w:ind w:left="4303" w:hanging="356"/>
      </w:pPr>
      <w:rPr>
        <w:rFonts w:hint="default"/>
      </w:rPr>
    </w:lvl>
    <w:lvl w:ilvl="7" w:tplc="75282388">
      <w:numFmt w:val="bullet"/>
      <w:lvlText w:val="•"/>
      <w:lvlJc w:val="left"/>
      <w:pPr>
        <w:ind w:left="4861" w:hanging="356"/>
      </w:pPr>
      <w:rPr>
        <w:rFonts w:hint="default"/>
      </w:rPr>
    </w:lvl>
    <w:lvl w:ilvl="8" w:tplc="940AD15E">
      <w:numFmt w:val="bullet"/>
      <w:lvlText w:val="•"/>
      <w:lvlJc w:val="left"/>
      <w:pPr>
        <w:ind w:left="5418" w:hanging="356"/>
      </w:pPr>
      <w:rPr>
        <w:rFonts w:hint="default"/>
      </w:rPr>
    </w:lvl>
  </w:abstractNum>
  <w:abstractNum w:abstractNumId="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73496"/>
    <w:multiLevelType w:val="hybridMultilevel"/>
    <w:tmpl w:val="3E0E28C8"/>
    <w:lvl w:ilvl="0" w:tplc="001EF356">
      <w:numFmt w:val="bullet"/>
      <w:lvlText w:val=""/>
      <w:lvlJc w:val="left"/>
      <w:pPr>
        <w:ind w:left="473" w:hanging="35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E5C8DDE8">
      <w:numFmt w:val="bullet"/>
      <w:lvlText w:val="•"/>
      <w:lvlJc w:val="left"/>
      <w:pPr>
        <w:ind w:left="1046" w:hanging="356"/>
      </w:pPr>
      <w:rPr>
        <w:rFonts w:hint="default"/>
      </w:rPr>
    </w:lvl>
    <w:lvl w:ilvl="2" w:tplc="9FBC8FF8">
      <w:numFmt w:val="bullet"/>
      <w:lvlText w:val="•"/>
      <w:lvlJc w:val="left"/>
      <w:pPr>
        <w:ind w:left="1612" w:hanging="356"/>
      </w:pPr>
      <w:rPr>
        <w:rFonts w:hint="default"/>
      </w:rPr>
    </w:lvl>
    <w:lvl w:ilvl="3" w:tplc="B12E9D3E">
      <w:numFmt w:val="bullet"/>
      <w:lvlText w:val="•"/>
      <w:lvlJc w:val="left"/>
      <w:pPr>
        <w:ind w:left="2179" w:hanging="356"/>
      </w:pPr>
      <w:rPr>
        <w:rFonts w:hint="default"/>
      </w:rPr>
    </w:lvl>
    <w:lvl w:ilvl="4" w:tplc="C7EE955E">
      <w:numFmt w:val="bullet"/>
      <w:lvlText w:val="•"/>
      <w:lvlJc w:val="left"/>
      <w:pPr>
        <w:ind w:left="2745" w:hanging="356"/>
      </w:pPr>
      <w:rPr>
        <w:rFonts w:hint="default"/>
      </w:rPr>
    </w:lvl>
    <w:lvl w:ilvl="5" w:tplc="D098EB2C">
      <w:numFmt w:val="bullet"/>
      <w:lvlText w:val="•"/>
      <w:lvlJc w:val="left"/>
      <w:pPr>
        <w:ind w:left="3312" w:hanging="356"/>
      </w:pPr>
      <w:rPr>
        <w:rFonts w:hint="default"/>
      </w:rPr>
    </w:lvl>
    <w:lvl w:ilvl="6" w:tplc="96326192">
      <w:numFmt w:val="bullet"/>
      <w:lvlText w:val="•"/>
      <w:lvlJc w:val="left"/>
      <w:pPr>
        <w:ind w:left="3878" w:hanging="356"/>
      </w:pPr>
      <w:rPr>
        <w:rFonts w:hint="default"/>
      </w:rPr>
    </w:lvl>
    <w:lvl w:ilvl="7" w:tplc="71809BD8">
      <w:numFmt w:val="bullet"/>
      <w:lvlText w:val="•"/>
      <w:lvlJc w:val="left"/>
      <w:pPr>
        <w:ind w:left="4444" w:hanging="356"/>
      </w:pPr>
      <w:rPr>
        <w:rFonts w:hint="default"/>
      </w:rPr>
    </w:lvl>
    <w:lvl w:ilvl="8" w:tplc="566CE26E">
      <w:numFmt w:val="bullet"/>
      <w:lvlText w:val="•"/>
      <w:lvlJc w:val="left"/>
      <w:pPr>
        <w:ind w:left="5011" w:hanging="356"/>
      </w:pPr>
      <w:rPr>
        <w:rFonts w:hint="default"/>
      </w:rPr>
    </w:lvl>
  </w:abstractNum>
  <w:abstractNum w:abstractNumId="11" w15:restartNumberingAfterBreak="0">
    <w:nsid w:val="5AE71F4E"/>
    <w:multiLevelType w:val="hybridMultilevel"/>
    <w:tmpl w:val="3AE489F2"/>
    <w:lvl w:ilvl="0" w:tplc="9F888D18">
      <w:numFmt w:val="bullet"/>
      <w:lvlText w:val=""/>
      <w:lvlJc w:val="left"/>
      <w:pPr>
        <w:ind w:left="509" w:hanging="35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6054D6F8">
      <w:numFmt w:val="bullet"/>
      <w:lvlText w:val="•"/>
      <w:lvlJc w:val="left"/>
      <w:pPr>
        <w:ind w:left="1057" w:hanging="356"/>
      </w:pPr>
      <w:rPr>
        <w:rFonts w:hint="default"/>
      </w:rPr>
    </w:lvl>
    <w:lvl w:ilvl="2" w:tplc="7CDEEF44">
      <w:numFmt w:val="bullet"/>
      <w:lvlText w:val="•"/>
      <w:lvlJc w:val="left"/>
      <w:pPr>
        <w:ind w:left="1614" w:hanging="356"/>
      </w:pPr>
      <w:rPr>
        <w:rFonts w:hint="default"/>
      </w:rPr>
    </w:lvl>
    <w:lvl w:ilvl="3" w:tplc="C20CD72E">
      <w:numFmt w:val="bullet"/>
      <w:lvlText w:val="•"/>
      <w:lvlJc w:val="left"/>
      <w:pPr>
        <w:ind w:left="2172" w:hanging="356"/>
      </w:pPr>
      <w:rPr>
        <w:rFonts w:hint="default"/>
      </w:rPr>
    </w:lvl>
    <w:lvl w:ilvl="4" w:tplc="ADE49274">
      <w:numFmt w:val="bullet"/>
      <w:lvlText w:val="•"/>
      <w:lvlJc w:val="left"/>
      <w:pPr>
        <w:ind w:left="2729" w:hanging="356"/>
      </w:pPr>
      <w:rPr>
        <w:rFonts w:hint="default"/>
      </w:rPr>
    </w:lvl>
    <w:lvl w:ilvl="5" w:tplc="FE384378">
      <w:numFmt w:val="bullet"/>
      <w:lvlText w:val="•"/>
      <w:lvlJc w:val="left"/>
      <w:pPr>
        <w:ind w:left="3287" w:hanging="356"/>
      </w:pPr>
      <w:rPr>
        <w:rFonts w:hint="default"/>
      </w:rPr>
    </w:lvl>
    <w:lvl w:ilvl="6" w:tplc="CB3C3612">
      <w:numFmt w:val="bullet"/>
      <w:lvlText w:val="•"/>
      <w:lvlJc w:val="left"/>
      <w:pPr>
        <w:ind w:left="3844" w:hanging="356"/>
      </w:pPr>
      <w:rPr>
        <w:rFonts w:hint="default"/>
      </w:rPr>
    </w:lvl>
    <w:lvl w:ilvl="7" w:tplc="D728C7FC">
      <w:numFmt w:val="bullet"/>
      <w:lvlText w:val="•"/>
      <w:lvlJc w:val="left"/>
      <w:pPr>
        <w:ind w:left="4401" w:hanging="356"/>
      </w:pPr>
      <w:rPr>
        <w:rFonts w:hint="default"/>
      </w:rPr>
    </w:lvl>
    <w:lvl w:ilvl="8" w:tplc="81D8B6EA">
      <w:numFmt w:val="bullet"/>
      <w:lvlText w:val="•"/>
      <w:lvlJc w:val="left"/>
      <w:pPr>
        <w:ind w:left="4959" w:hanging="356"/>
      </w:pPr>
      <w:rPr>
        <w:rFonts w:hint="default"/>
      </w:rPr>
    </w:lvl>
  </w:abstractNum>
  <w:abstractNum w:abstractNumId="12" w15:restartNumberingAfterBreak="0">
    <w:nsid w:val="5C9E71FD"/>
    <w:multiLevelType w:val="hybridMultilevel"/>
    <w:tmpl w:val="89480894"/>
    <w:lvl w:ilvl="0" w:tplc="4E965ED0">
      <w:numFmt w:val="bullet"/>
      <w:lvlText w:val=""/>
      <w:lvlJc w:val="left"/>
      <w:pPr>
        <w:ind w:left="583" w:hanging="356"/>
      </w:pPr>
      <w:rPr>
        <w:rFonts w:ascii="Symbol" w:eastAsia="Symbol" w:hAnsi="Symbol" w:cs="Symbol" w:hint="default"/>
        <w:w w:val="101"/>
        <w:sz w:val="18"/>
        <w:szCs w:val="18"/>
      </w:rPr>
    </w:lvl>
    <w:lvl w:ilvl="1" w:tplc="DC949D9E">
      <w:numFmt w:val="bullet"/>
      <w:lvlText w:val="•"/>
      <w:lvlJc w:val="left"/>
      <w:pPr>
        <w:ind w:left="1136" w:hanging="356"/>
      </w:pPr>
      <w:rPr>
        <w:rFonts w:hint="default"/>
      </w:rPr>
    </w:lvl>
    <w:lvl w:ilvl="2" w:tplc="31366484">
      <w:numFmt w:val="bullet"/>
      <w:lvlText w:val="•"/>
      <w:lvlJc w:val="left"/>
      <w:pPr>
        <w:ind w:left="1693" w:hanging="356"/>
      </w:pPr>
      <w:rPr>
        <w:rFonts w:hint="default"/>
      </w:rPr>
    </w:lvl>
    <w:lvl w:ilvl="3" w:tplc="B79C944E">
      <w:numFmt w:val="bullet"/>
      <w:lvlText w:val="•"/>
      <w:lvlJc w:val="left"/>
      <w:pPr>
        <w:ind w:left="2250" w:hanging="356"/>
      </w:pPr>
      <w:rPr>
        <w:rFonts w:hint="default"/>
      </w:rPr>
    </w:lvl>
    <w:lvl w:ilvl="4" w:tplc="E1285772">
      <w:numFmt w:val="bullet"/>
      <w:lvlText w:val="•"/>
      <w:lvlJc w:val="left"/>
      <w:pPr>
        <w:ind w:left="2807" w:hanging="356"/>
      </w:pPr>
      <w:rPr>
        <w:rFonts w:hint="default"/>
      </w:rPr>
    </w:lvl>
    <w:lvl w:ilvl="5" w:tplc="0924F650">
      <w:numFmt w:val="bullet"/>
      <w:lvlText w:val="•"/>
      <w:lvlJc w:val="left"/>
      <w:pPr>
        <w:ind w:left="3364" w:hanging="356"/>
      </w:pPr>
      <w:rPr>
        <w:rFonts w:hint="default"/>
      </w:rPr>
    </w:lvl>
    <w:lvl w:ilvl="6" w:tplc="DE283B60">
      <w:numFmt w:val="bullet"/>
      <w:lvlText w:val="•"/>
      <w:lvlJc w:val="left"/>
      <w:pPr>
        <w:ind w:left="3921" w:hanging="356"/>
      </w:pPr>
      <w:rPr>
        <w:rFonts w:hint="default"/>
      </w:rPr>
    </w:lvl>
    <w:lvl w:ilvl="7" w:tplc="54EC4856">
      <w:numFmt w:val="bullet"/>
      <w:lvlText w:val="•"/>
      <w:lvlJc w:val="left"/>
      <w:pPr>
        <w:ind w:left="4478" w:hanging="356"/>
      </w:pPr>
      <w:rPr>
        <w:rFonts w:hint="default"/>
      </w:rPr>
    </w:lvl>
    <w:lvl w:ilvl="8" w:tplc="6366AF24">
      <w:numFmt w:val="bullet"/>
      <w:lvlText w:val="•"/>
      <w:lvlJc w:val="left"/>
      <w:pPr>
        <w:ind w:left="5035" w:hanging="356"/>
      </w:pPr>
      <w:rPr>
        <w:rFonts w:hint="default"/>
      </w:rPr>
    </w:lvl>
  </w:abstractNum>
  <w:abstractNum w:abstractNumId="13" w15:restartNumberingAfterBreak="0">
    <w:nsid w:val="658143D6"/>
    <w:multiLevelType w:val="hybridMultilevel"/>
    <w:tmpl w:val="55AC3A44"/>
    <w:lvl w:ilvl="0" w:tplc="A546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A2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A5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C1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A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CA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6F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E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98734D7"/>
    <w:multiLevelType w:val="multilevel"/>
    <w:tmpl w:val="FF7CDE08"/>
    <w:lvl w:ilvl="0">
      <w:start w:val="1"/>
      <w:numFmt w:val="decimal"/>
      <w:lvlText w:val="%1"/>
      <w:lvlJc w:val="left"/>
      <w:pPr>
        <w:ind w:left="873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720"/>
      </w:pPr>
      <w:rPr>
        <w:rFonts w:ascii="Arial" w:eastAsia="Arial" w:hAnsi="Arial" w:cs="Arial" w:hint="default"/>
        <w:b/>
        <w:bCs/>
        <w:color w:val="24A9E0"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713" w:hanging="720"/>
      </w:pPr>
      <w:rPr>
        <w:rFonts w:hint="default"/>
      </w:rPr>
    </w:lvl>
    <w:lvl w:ilvl="3">
      <w:numFmt w:val="bullet"/>
      <w:lvlText w:val="•"/>
      <w:lvlJc w:val="left"/>
      <w:pPr>
        <w:ind w:left="3629" w:hanging="720"/>
      </w:pPr>
      <w:rPr>
        <w:rFonts w:hint="default"/>
      </w:rPr>
    </w:lvl>
    <w:lvl w:ilvl="4">
      <w:numFmt w:val="bullet"/>
      <w:lvlText w:val="•"/>
      <w:lvlJc w:val="left"/>
      <w:pPr>
        <w:ind w:left="4546" w:hanging="720"/>
      </w:pPr>
      <w:rPr>
        <w:rFonts w:hint="default"/>
      </w:rPr>
    </w:lvl>
    <w:lvl w:ilvl="5">
      <w:numFmt w:val="bullet"/>
      <w:lvlText w:val="•"/>
      <w:lvlJc w:val="left"/>
      <w:pPr>
        <w:ind w:left="5463" w:hanging="720"/>
      </w:pPr>
      <w:rPr>
        <w:rFonts w:hint="default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</w:rPr>
    </w:lvl>
    <w:lvl w:ilvl="7">
      <w:numFmt w:val="bullet"/>
      <w:lvlText w:val="•"/>
      <w:lvlJc w:val="left"/>
      <w:pPr>
        <w:ind w:left="7296" w:hanging="720"/>
      </w:pPr>
      <w:rPr>
        <w:rFonts w:hint="default"/>
      </w:rPr>
    </w:lvl>
    <w:lvl w:ilvl="8">
      <w:numFmt w:val="bullet"/>
      <w:lvlText w:val="•"/>
      <w:lvlJc w:val="left"/>
      <w:pPr>
        <w:ind w:left="8213" w:hanging="720"/>
      </w:pPr>
      <w:rPr>
        <w:rFonts w:hint="default"/>
      </w:rPr>
    </w:lvl>
  </w:abstractNum>
  <w:abstractNum w:abstractNumId="15" w15:restartNumberingAfterBreak="0">
    <w:nsid w:val="745E1539"/>
    <w:multiLevelType w:val="hybridMultilevel"/>
    <w:tmpl w:val="F878955E"/>
    <w:lvl w:ilvl="0" w:tplc="B688269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10E7F"/>
    <w:multiLevelType w:val="hybridMultilevel"/>
    <w:tmpl w:val="A06E3D7C"/>
    <w:lvl w:ilvl="0" w:tplc="B2BEB21A">
      <w:start w:val="1"/>
      <w:numFmt w:val="bullet"/>
      <w:pStyle w:val="Bullet2inabox"/>
      <w:lvlText w:val=""/>
      <w:lvlJc w:val="left"/>
      <w:pPr>
        <w:ind w:left="360" w:hanging="360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225106"/>
    <w:multiLevelType w:val="hybridMultilevel"/>
    <w:tmpl w:val="52E2309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7CE820A2"/>
    <w:multiLevelType w:val="hybridMultilevel"/>
    <w:tmpl w:val="44969A4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CA29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B6A55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FC14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1094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AAA5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BCA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16FB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16E5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8"/>
  </w:num>
  <w:num w:numId="17">
    <w:abstractNumId w:val="15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B53"/>
    <w:rsid w:val="00000B77"/>
    <w:rsid w:val="000026D7"/>
    <w:rsid w:val="00005744"/>
    <w:rsid w:val="000058A0"/>
    <w:rsid w:val="00013C61"/>
    <w:rsid w:val="0002119A"/>
    <w:rsid w:val="00030BF0"/>
    <w:rsid w:val="00031E2B"/>
    <w:rsid w:val="00040604"/>
    <w:rsid w:val="00040FFD"/>
    <w:rsid w:val="000418BF"/>
    <w:rsid w:val="00042461"/>
    <w:rsid w:val="00044F6E"/>
    <w:rsid w:val="00047574"/>
    <w:rsid w:val="0005014A"/>
    <w:rsid w:val="00050E79"/>
    <w:rsid w:val="000532A2"/>
    <w:rsid w:val="0005783C"/>
    <w:rsid w:val="00064922"/>
    <w:rsid w:val="00071B1E"/>
    <w:rsid w:val="00072A57"/>
    <w:rsid w:val="00072BBC"/>
    <w:rsid w:val="00073A3A"/>
    <w:rsid w:val="00083D10"/>
    <w:rsid w:val="00085E9E"/>
    <w:rsid w:val="00086BD6"/>
    <w:rsid w:val="000873EF"/>
    <w:rsid w:val="0009182C"/>
    <w:rsid w:val="00092D59"/>
    <w:rsid w:val="000957F3"/>
    <w:rsid w:val="00095825"/>
    <w:rsid w:val="000A19DA"/>
    <w:rsid w:val="000A30FF"/>
    <w:rsid w:val="000B1A2C"/>
    <w:rsid w:val="000B2B34"/>
    <w:rsid w:val="000B7C46"/>
    <w:rsid w:val="000C2229"/>
    <w:rsid w:val="000C3756"/>
    <w:rsid w:val="000C51B6"/>
    <w:rsid w:val="000C5EAA"/>
    <w:rsid w:val="000D260E"/>
    <w:rsid w:val="000D4B62"/>
    <w:rsid w:val="000D73CE"/>
    <w:rsid w:val="000E00B2"/>
    <w:rsid w:val="000E7CCC"/>
    <w:rsid w:val="000F13BB"/>
    <w:rsid w:val="000F317F"/>
    <w:rsid w:val="000F72A1"/>
    <w:rsid w:val="00100F76"/>
    <w:rsid w:val="00100FD7"/>
    <w:rsid w:val="00104874"/>
    <w:rsid w:val="001071EA"/>
    <w:rsid w:val="00114289"/>
    <w:rsid w:val="00117577"/>
    <w:rsid w:val="001225B6"/>
    <w:rsid w:val="001251AB"/>
    <w:rsid w:val="0012565F"/>
    <w:rsid w:val="001259F1"/>
    <w:rsid w:val="00130BA9"/>
    <w:rsid w:val="0013131F"/>
    <w:rsid w:val="001331A9"/>
    <w:rsid w:val="0014037D"/>
    <w:rsid w:val="0014681B"/>
    <w:rsid w:val="00147673"/>
    <w:rsid w:val="00150BB9"/>
    <w:rsid w:val="00152E79"/>
    <w:rsid w:val="00153434"/>
    <w:rsid w:val="00166426"/>
    <w:rsid w:val="00167D94"/>
    <w:rsid w:val="00177FBC"/>
    <w:rsid w:val="001843A0"/>
    <w:rsid w:val="001903C9"/>
    <w:rsid w:val="00192024"/>
    <w:rsid w:val="00193568"/>
    <w:rsid w:val="00195192"/>
    <w:rsid w:val="001A4B75"/>
    <w:rsid w:val="001A7305"/>
    <w:rsid w:val="001B3352"/>
    <w:rsid w:val="001B7BAA"/>
    <w:rsid w:val="001C41F3"/>
    <w:rsid w:val="001C79B8"/>
    <w:rsid w:val="001D58E1"/>
    <w:rsid w:val="001D5F39"/>
    <w:rsid w:val="001E0318"/>
    <w:rsid w:val="001E23D2"/>
    <w:rsid w:val="001E4C2D"/>
    <w:rsid w:val="001E5F81"/>
    <w:rsid w:val="001E79DC"/>
    <w:rsid w:val="001F1377"/>
    <w:rsid w:val="00200F63"/>
    <w:rsid w:val="00202D83"/>
    <w:rsid w:val="00203C8F"/>
    <w:rsid w:val="002058F5"/>
    <w:rsid w:val="00206E6A"/>
    <w:rsid w:val="00207671"/>
    <w:rsid w:val="00217DD0"/>
    <w:rsid w:val="00220720"/>
    <w:rsid w:val="00226A82"/>
    <w:rsid w:val="002338C5"/>
    <w:rsid w:val="00233F7F"/>
    <w:rsid w:val="00235265"/>
    <w:rsid w:val="00235DB7"/>
    <w:rsid w:val="00242E9C"/>
    <w:rsid w:val="002450D2"/>
    <w:rsid w:val="00245E5C"/>
    <w:rsid w:val="0025366F"/>
    <w:rsid w:val="0026203B"/>
    <w:rsid w:val="00266264"/>
    <w:rsid w:val="00272108"/>
    <w:rsid w:val="002742B9"/>
    <w:rsid w:val="0028330A"/>
    <w:rsid w:val="002839EA"/>
    <w:rsid w:val="00286231"/>
    <w:rsid w:val="00291C31"/>
    <w:rsid w:val="002A6B72"/>
    <w:rsid w:val="002B08B7"/>
    <w:rsid w:val="002B2A9B"/>
    <w:rsid w:val="002B5A90"/>
    <w:rsid w:val="002B74BB"/>
    <w:rsid w:val="002B7F98"/>
    <w:rsid w:val="002C2530"/>
    <w:rsid w:val="002C3B1F"/>
    <w:rsid w:val="002C6145"/>
    <w:rsid w:val="002D2C94"/>
    <w:rsid w:val="002D30DD"/>
    <w:rsid w:val="002D5D1A"/>
    <w:rsid w:val="002E270B"/>
    <w:rsid w:val="002E77AF"/>
    <w:rsid w:val="002F2812"/>
    <w:rsid w:val="002F4FF5"/>
    <w:rsid w:val="003007D3"/>
    <w:rsid w:val="003020E1"/>
    <w:rsid w:val="003123F4"/>
    <w:rsid w:val="00312FE4"/>
    <w:rsid w:val="0031421A"/>
    <w:rsid w:val="00321543"/>
    <w:rsid w:val="0032235D"/>
    <w:rsid w:val="003238B2"/>
    <w:rsid w:val="00324643"/>
    <w:rsid w:val="00327B42"/>
    <w:rsid w:val="00327BE2"/>
    <w:rsid w:val="00332B83"/>
    <w:rsid w:val="00332E08"/>
    <w:rsid w:val="003356E7"/>
    <w:rsid w:val="00335E24"/>
    <w:rsid w:val="0034046B"/>
    <w:rsid w:val="00342566"/>
    <w:rsid w:val="003447FA"/>
    <w:rsid w:val="00345C05"/>
    <w:rsid w:val="00350212"/>
    <w:rsid w:val="00353CB4"/>
    <w:rsid w:val="00354DCE"/>
    <w:rsid w:val="00357E69"/>
    <w:rsid w:val="00360CE8"/>
    <w:rsid w:val="00361677"/>
    <w:rsid w:val="00362EC2"/>
    <w:rsid w:val="003676CD"/>
    <w:rsid w:val="0037098B"/>
    <w:rsid w:val="0037592E"/>
    <w:rsid w:val="003760D4"/>
    <w:rsid w:val="003838F9"/>
    <w:rsid w:val="00383F0C"/>
    <w:rsid w:val="00396FA7"/>
    <w:rsid w:val="00397E5B"/>
    <w:rsid w:val="003A0BFA"/>
    <w:rsid w:val="003A455E"/>
    <w:rsid w:val="003C0084"/>
    <w:rsid w:val="003C04CA"/>
    <w:rsid w:val="003C6163"/>
    <w:rsid w:val="003D03E3"/>
    <w:rsid w:val="003D2716"/>
    <w:rsid w:val="003E30CE"/>
    <w:rsid w:val="003E4276"/>
    <w:rsid w:val="003E4883"/>
    <w:rsid w:val="003E57EB"/>
    <w:rsid w:val="003F0974"/>
    <w:rsid w:val="003F174F"/>
    <w:rsid w:val="003F5F29"/>
    <w:rsid w:val="003F606C"/>
    <w:rsid w:val="003F6223"/>
    <w:rsid w:val="004034F5"/>
    <w:rsid w:val="00405236"/>
    <w:rsid w:val="00407B20"/>
    <w:rsid w:val="004120B7"/>
    <w:rsid w:val="00413CDB"/>
    <w:rsid w:val="004152E6"/>
    <w:rsid w:val="00416A4D"/>
    <w:rsid w:val="00425E11"/>
    <w:rsid w:val="004314B2"/>
    <w:rsid w:val="0044106F"/>
    <w:rsid w:val="00445DEE"/>
    <w:rsid w:val="004474AB"/>
    <w:rsid w:val="004475AE"/>
    <w:rsid w:val="004554F4"/>
    <w:rsid w:val="004561A5"/>
    <w:rsid w:val="004907FB"/>
    <w:rsid w:val="004953DF"/>
    <w:rsid w:val="004A1CC0"/>
    <w:rsid w:val="004A2664"/>
    <w:rsid w:val="004A7188"/>
    <w:rsid w:val="004B43DE"/>
    <w:rsid w:val="004C272B"/>
    <w:rsid w:val="004C3593"/>
    <w:rsid w:val="004C39A1"/>
    <w:rsid w:val="004C5316"/>
    <w:rsid w:val="004D05C3"/>
    <w:rsid w:val="004D63A5"/>
    <w:rsid w:val="004E10B3"/>
    <w:rsid w:val="004E3A28"/>
    <w:rsid w:val="004E531C"/>
    <w:rsid w:val="004F20ED"/>
    <w:rsid w:val="004F4500"/>
    <w:rsid w:val="004F4CF0"/>
    <w:rsid w:val="0051307D"/>
    <w:rsid w:val="00514334"/>
    <w:rsid w:val="005179EC"/>
    <w:rsid w:val="0052096A"/>
    <w:rsid w:val="00523255"/>
    <w:rsid w:val="00524F2E"/>
    <w:rsid w:val="00533951"/>
    <w:rsid w:val="0054050D"/>
    <w:rsid w:val="00553A41"/>
    <w:rsid w:val="005552EF"/>
    <w:rsid w:val="00561DE1"/>
    <w:rsid w:val="00562B69"/>
    <w:rsid w:val="005640EB"/>
    <w:rsid w:val="00565A87"/>
    <w:rsid w:val="00570107"/>
    <w:rsid w:val="005A7ABB"/>
    <w:rsid w:val="005A7D3D"/>
    <w:rsid w:val="005B3C4B"/>
    <w:rsid w:val="005B5849"/>
    <w:rsid w:val="005C2E7E"/>
    <w:rsid w:val="005C3651"/>
    <w:rsid w:val="005C4DC4"/>
    <w:rsid w:val="005D216F"/>
    <w:rsid w:val="005D6584"/>
    <w:rsid w:val="005E04EB"/>
    <w:rsid w:val="005E3A8E"/>
    <w:rsid w:val="005E69C2"/>
    <w:rsid w:val="005F07A6"/>
    <w:rsid w:val="005F1C2D"/>
    <w:rsid w:val="005F1F4C"/>
    <w:rsid w:val="005F4995"/>
    <w:rsid w:val="005F52A6"/>
    <w:rsid w:val="005F5783"/>
    <w:rsid w:val="00601310"/>
    <w:rsid w:val="00607A4A"/>
    <w:rsid w:val="0061322E"/>
    <w:rsid w:val="00613672"/>
    <w:rsid w:val="00615863"/>
    <w:rsid w:val="006243F0"/>
    <w:rsid w:val="00637B53"/>
    <w:rsid w:val="006549C0"/>
    <w:rsid w:val="006579AE"/>
    <w:rsid w:val="00661403"/>
    <w:rsid w:val="0066147C"/>
    <w:rsid w:val="00665524"/>
    <w:rsid w:val="00665B9E"/>
    <w:rsid w:val="00670EBF"/>
    <w:rsid w:val="006800AF"/>
    <w:rsid w:val="0068224F"/>
    <w:rsid w:val="00683D93"/>
    <w:rsid w:val="006920C7"/>
    <w:rsid w:val="006946E7"/>
    <w:rsid w:val="006A3814"/>
    <w:rsid w:val="006A463B"/>
    <w:rsid w:val="006A6718"/>
    <w:rsid w:val="006B22CD"/>
    <w:rsid w:val="006B2713"/>
    <w:rsid w:val="006B30F6"/>
    <w:rsid w:val="006C1B8D"/>
    <w:rsid w:val="006D0F87"/>
    <w:rsid w:val="006D2CD7"/>
    <w:rsid w:val="006D733E"/>
    <w:rsid w:val="006E67FA"/>
    <w:rsid w:val="006F2312"/>
    <w:rsid w:val="006F5BA4"/>
    <w:rsid w:val="006F6BB1"/>
    <w:rsid w:val="00700495"/>
    <w:rsid w:val="00702EE7"/>
    <w:rsid w:val="00704D26"/>
    <w:rsid w:val="00707145"/>
    <w:rsid w:val="00710A17"/>
    <w:rsid w:val="007121F3"/>
    <w:rsid w:val="007142B4"/>
    <w:rsid w:val="00722AE8"/>
    <w:rsid w:val="007244FD"/>
    <w:rsid w:val="00724A58"/>
    <w:rsid w:val="007324D6"/>
    <w:rsid w:val="00732F74"/>
    <w:rsid w:val="007354FC"/>
    <w:rsid w:val="0074140D"/>
    <w:rsid w:val="00743E62"/>
    <w:rsid w:val="00751B16"/>
    <w:rsid w:val="00752AF6"/>
    <w:rsid w:val="007550A7"/>
    <w:rsid w:val="00763272"/>
    <w:rsid w:val="00763B76"/>
    <w:rsid w:val="007655C4"/>
    <w:rsid w:val="00767923"/>
    <w:rsid w:val="007753BD"/>
    <w:rsid w:val="007778CF"/>
    <w:rsid w:val="00783AC8"/>
    <w:rsid w:val="0079304A"/>
    <w:rsid w:val="007A0C2D"/>
    <w:rsid w:val="007B278E"/>
    <w:rsid w:val="007B2981"/>
    <w:rsid w:val="007C1EB5"/>
    <w:rsid w:val="007C4F7E"/>
    <w:rsid w:val="007C7F5F"/>
    <w:rsid w:val="007D5D87"/>
    <w:rsid w:val="007E2DA0"/>
    <w:rsid w:val="007E4C27"/>
    <w:rsid w:val="007E51CE"/>
    <w:rsid w:val="007E5DB3"/>
    <w:rsid w:val="007F133A"/>
    <w:rsid w:val="00800A45"/>
    <w:rsid w:val="008031EF"/>
    <w:rsid w:val="0080456A"/>
    <w:rsid w:val="00804AA7"/>
    <w:rsid w:val="00811B43"/>
    <w:rsid w:val="00811F60"/>
    <w:rsid w:val="00813DAD"/>
    <w:rsid w:val="00815383"/>
    <w:rsid w:val="00816D91"/>
    <w:rsid w:val="00816EEB"/>
    <w:rsid w:val="008250B8"/>
    <w:rsid w:val="00834E22"/>
    <w:rsid w:val="0084264F"/>
    <w:rsid w:val="00852651"/>
    <w:rsid w:val="00855289"/>
    <w:rsid w:val="00857155"/>
    <w:rsid w:val="00860AE1"/>
    <w:rsid w:val="00860C64"/>
    <w:rsid w:val="0086157D"/>
    <w:rsid w:val="0086228F"/>
    <w:rsid w:val="00862523"/>
    <w:rsid w:val="008662F1"/>
    <w:rsid w:val="0086754A"/>
    <w:rsid w:val="00872163"/>
    <w:rsid w:val="00874125"/>
    <w:rsid w:val="008823ED"/>
    <w:rsid w:val="00882F8D"/>
    <w:rsid w:val="008A2623"/>
    <w:rsid w:val="008A49F0"/>
    <w:rsid w:val="008B0574"/>
    <w:rsid w:val="008B0DB5"/>
    <w:rsid w:val="008B16FF"/>
    <w:rsid w:val="008B4ED3"/>
    <w:rsid w:val="008B5EBC"/>
    <w:rsid w:val="008B7423"/>
    <w:rsid w:val="008C11BA"/>
    <w:rsid w:val="008C195B"/>
    <w:rsid w:val="008C38BE"/>
    <w:rsid w:val="008C45D6"/>
    <w:rsid w:val="008D0FFB"/>
    <w:rsid w:val="008D34AA"/>
    <w:rsid w:val="008D39E2"/>
    <w:rsid w:val="008D3CD7"/>
    <w:rsid w:val="008D3D22"/>
    <w:rsid w:val="008D4AB2"/>
    <w:rsid w:val="008D4C46"/>
    <w:rsid w:val="008E2B4A"/>
    <w:rsid w:val="008E40D6"/>
    <w:rsid w:val="008F7F26"/>
    <w:rsid w:val="009021E8"/>
    <w:rsid w:val="00910247"/>
    <w:rsid w:val="00910F73"/>
    <w:rsid w:val="00914C82"/>
    <w:rsid w:val="00914F64"/>
    <w:rsid w:val="0092390A"/>
    <w:rsid w:val="00925F0B"/>
    <w:rsid w:val="009370AE"/>
    <w:rsid w:val="0094005B"/>
    <w:rsid w:val="009427E0"/>
    <w:rsid w:val="00945216"/>
    <w:rsid w:val="00950085"/>
    <w:rsid w:val="00951F10"/>
    <w:rsid w:val="00953860"/>
    <w:rsid w:val="00964519"/>
    <w:rsid w:val="00976872"/>
    <w:rsid w:val="00981A82"/>
    <w:rsid w:val="00982CB2"/>
    <w:rsid w:val="00983834"/>
    <w:rsid w:val="00985F1C"/>
    <w:rsid w:val="00992F3B"/>
    <w:rsid w:val="00997739"/>
    <w:rsid w:val="009A176F"/>
    <w:rsid w:val="009A6A7C"/>
    <w:rsid w:val="009A7331"/>
    <w:rsid w:val="009B441B"/>
    <w:rsid w:val="009C3A15"/>
    <w:rsid w:val="009C626A"/>
    <w:rsid w:val="009D117E"/>
    <w:rsid w:val="009D494D"/>
    <w:rsid w:val="009D77A6"/>
    <w:rsid w:val="009E03D4"/>
    <w:rsid w:val="009E0AB9"/>
    <w:rsid w:val="009E0B65"/>
    <w:rsid w:val="009E0E18"/>
    <w:rsid w:val="009E412C"/>
    <w:rsid w:val="009F2E7F"/>
    <w:rsid w:val="009F552E"/>
    <w:rsid w:val="00A01EE8"/>
    <w:rsid w:val="00A020BF"/>
    <w:rsid w:val="00A0589B"/>
    <w:rsid w:val="00A06715"/>
    <w:rsid w:val="00A15238"/>
    <w:rsid w:val="00A2082E"/>
    <w:rsid w:val="00A22852"/>
    <w:rsid w:val="00A26740"/>
    <w:rsid w:val="00A27C8D"/>
    <w:rsid w:val="00A3093D"/>
    <w:rsid w:val="00A33EB0"/>
    <w:rsid w:val="00A33EEB"/>
    <w:rsid w:val="00A4202C"/>
    <w:rsid w:val="00A45B5B"/>
    <w:rsid w:val="00A464A4"/>
    <w:rsid w:val="00A467CA"/>
    <w:rsid w:val="00A54181"/>
    <w:rsid w:val="00A65582"/>
    <w:rsid w:val="00A709FD"/>
    <w:rsid w:val="00A70B79"/>
    <w:rsid w:val="00A7117A"/>
    <w:rsid w:val="00A730D5"/>
    <w:rsid w:val="00A73E69"/>
    <w:rsid w:val="00A81007"/>
    <w:rsid w:val="00A81342"/>
    <w:rsid w:val="00A8139A"/>
    <w:rsid w:val="00A83CA4"/>
    <w:rsid w:val="00A84132"/>
    <w:rsid w:val="00A92F0C"/>
    <w:rsid w:val="00A95033"/>
    <w:rsid w:val="00AA6206"/>
    <w:rsid w:val="00AB2A46"/>
    <w:rsid w:val="00AB34D6"/>
    <w:rsid w:val="00AB41B3"/>
    <w:rsid w:val="00AB6FD7"/>
    <w:rsid w:val="00AB73D4"/>
    <w:rsid w:val="00AC1090"/>
    <w:rsid w:val="00AC17DF"/>
    <w:rsid w:val="00AC3509"/>
    <w:rsid w:val="00AC48C8"/>
    <w:rsid w:val="00AC5D16"/>
    <w:rsid w:val="00AD2002"/>
    <w:rsid w:val="00AD430F"/>
    <w:rsid w:val="00AE2B84"/>
    <w:rsid w:val="00AE5D7F"/>
    <w:rsid w:val="00AE6129"/>
    <w:rsid w:val="00AE7E36"/>
    <w:rsid w:val="00AE7F60"/>
    <w:rsid w:val="00B011BB"/>
    <w:rsid w:val="00B02546"/>
    <w:rsid w:val="00B063DB"/>
    <w:rsid w:val="00B11543"/>
    <w:rsid w:val="00B12ED3"/>
    <w:rsid w:val="00B157EA"/>
    <w:rsid w:val="00B2307B"/>
    <w:rsid w:val="00B32429"/>
    <w:rsid w:val="00B345A0"/>
    <w:rsid w:val="00B34D0C"/>
    <w:rsid w:val="00B36D80"/>
    <w:rsid w:val="00B41F6E"/>
    <w:rsid w:val="00B47A88"/>
    <w:rsid w:val="00B509D4"/>
    <w:rsid w:val="00B528B9"/>
    <w:rsid w:val="00B56ADB"/>
    <w:rsid w:val="00B5707F"/>
    <w:rsid w:val="00B611B7"/>
    <w:rsid w:val="00B6617E"/>
    <w:rsid w:val="00B666A5"/>
    <w:rsid w:val="00B66E7A"/>
    <w:rsid w:val="00B7220E"/>
    <w:rsid w:val="00B73E0F"/>
    <w:rsid w:val="00B77063"/>
    <w:rsid w:val="00B77E9D"/>
    <w:rsid w:val="00B84B3A"/>
    <w:rsid w:val="00B8573C"/>
    <w:rsid w:val="00BA3EDE"/>
    <w:rsid w:val="00BA4B51"/>
    <w:rsid w:val="00BA6D81"/>
    <w:rsid w:val="00BB01C5"/>
    <w:rsid w:val="00BB4521"/>
    <w:rsid w:val="00BB677D"/>
    <w:rsid w:val="00BC1CD2"/>
    <w:rsid w:val="00BC4328"/>
    <w:rsid w:val="00BC4397"/>
    <w:rsid w:val="00BC6693"/>
    <w:rsid w:val="00BC6B83"/>
    <w:rsid w:val="00BD287D"/>
    <w:rsid w:val="00BE6704"/>
    <w:rsid w:val="00BF67D6"/>
    <w:rsid w:val="00BF728C"/>
    <w:rsid w:val="00C02625"/>
    <w:rsid w:val="00C131D9"/>
    <w:rsid w:val="00C13DD6"/>
    <w:rsid w:val="00C168BE"/>
    <w:rsid w:val="00C20222"/>
    <w:rsid w:val="00C2336F"/>
    <w:rsid w:val="00C43D09"/>
    <w:rsid w:val="00C4795A"/>
    <w:rsid w:val="00C51D9D"/>
    <w:rsid w:val="00C53419"/>
    <w:rsid w:val="00C63EFD"/>
    <w:rsid w:val="00C64943"/>
    <w:rsid w:val="00C71AB0"/>
    <w:rsid w:val="00C749F1"/>
    <w:rsid w:val="00C823AF"/>
    <w:rsid w:val="00C82A4A"/>
    <w:rsid w:val="00C90DA3"/>
    <w:rsid w:val="00C92699"/>
    <w:rsid w:val="00C96AB1"/>
    <w:rsid w:val="00CA2BC7"/>
    <w:rsid w:val="00CA674A"/>
    <w:rsid w:val="00CB4811"/>
    <w:rsid w:val="00CC291A"/>
    <w:rsid w:val="00CC330F"/>
    <w:rsid w:val="00CC6EE1"/>
    <w:rsid w:val="00CD4A0D"/>
    <w:rsid w:val="00CD6327"/>
    <w:rsid w:val="00CD65B4"/>
    <w:rsid w:val="00CE2BD3"/>
    <w:rsid w:val="00CE363C"/>
    <w:rsid w:val="00CE4712"/>
    <w:rsid w:val="00CE6AD8"/>
    <w:rsid w:val="00CF1596"/>
    <w:rsid w:val="00CF1FBA"/>
    <w:rsid w:val="00CF2674"/>
    <w:rsid w:val="00CF2892"/>
    <w:rsid w:val="00CF2F99"/>
    <w:rsid w:val="00CF44FB"/>
    <w:rsid w:val="00CF4FDB"/>
    <w:rsid w:val="00CF7B2D"/>
    <w:rsid w:val="00CF7EE4"/>
    <w:rsid w:val="00D00142"/>
    <w:rsid w:val="00D03026"/>
    <w:rsid w:val="00D030E9"/>
    <w:rsid w:val="00D042A7"/>
    <w:rsid w:val="00D075A3"/>
    <w:rsid w:val="00D1423B"/>
    <w:rsid w:val="00D2253A"/>
    <w:rsid w:val="00D23FCD"/>
    <w:rsid w:val="00D2719B"/>
    <w:rsid w:val="00D27B72"/>
    <w:rsid w:val="00D44C92"/>
    <w:rsid w:val="00D46C27"/>
    <w:rsid w:val="00D5030A"/>
    <w:rsid w:val="00D5239C"/>
    <w:rsid w:val="00D57503"/>
    <w:rsid w:val="00D62994"/>
    <w:rsid w:val="00D64931"/>
    <w:rsid w:val="00D671DF"/>
    <w:rsid w:val="00D71278"/>
    <w:rsid w:val="00D71F4C"/>
    <w:rsid w:val="00D71F81"/>
    <w:rsid w:val="00D7615C"/>
    <w:rsid w:val="00D82C6C"/>
    <w:rsid w:val="00D84EAE"/>
    <w:rsid w:val="00D85CC3"/>
    <w:rsid w:val="00D945EC"/>
    <w:rsid w:val="00D96C72"/>
    <w:rsid w:val="00DA0849"/>
    <w:rsid w:val="00DA2D7B"/>
    <w:rsid w:val="00DA423D"/>
    <w:rsid w:val="00DA46DC"/>
    <w:rsid w:val="00DA4ACB"/>
    <w:rsid w:val="00DA650B"/>
    <w:rsid w:val="00DB095B"/>
    <w:rsid w:val="00DB43AF"/>
    <w:rsid w:val="00DB45E2"/>
    <w:rsid w:val="00DC1A09"/>
    <w:rsid w:val="00DC2FB0"/>
    <w:rsid w:val="00DC4289"/>
    <w:rsid w:val="00DC4E5D"/>
    <w:rsid w:val="00DD219B"/>
    <w:rsid w:val="00DD2807"/>
    <w:rsid w:val="00DD3693"/>
    <w:rsid w:val="00DD5EF1"/>
    <w:rsid w:val="00DE3921"/>
    <w:rsid w:val="00DE4633"/>
    <w:rsid w:val="00DE71F5"/>
    <w:rsid w:val="00DE73A2"/>
    <w:rsid w:val="00DF0CC8"/>
    <w:rsid w:val="00DF5471"/>
    <w:rsid w:val="00E012D2"/>
    <w:rsid w:val="00E01E01"/>
    <w:rsid w:val="00E22CA6"/>
    <w:rsid w:val="00E25682"/>
    <w:rsid w:val="00E3165E"/>
    <w:rsid w:val="00E3364B"/>
    <w:rsid w:val="00E352BE"/>
    <w:rsid w:val="00E414FF"/>
    <w:rsid w:val="00E442FC"/>
    <w:rsid w:val="00E5698B"/>
    <w:rsid w:val="00E57389"/>
    <w:rsid w:val="00E6142D"/>
    <w:rsid w:val="00E7098B"/>
    <w:rsid w:val="00E837A6"/>
    <w:rsid w:val="00E92711"/>
    <w:rsid w:val="00E93857"/>
    <w:rsid w:val="00E94A9E"/>
    <w:rsid w:val="00E96166"/>
    <w:rsid w:val="00EA0570"/>
    <w:rsid w:val="00EA7067"/>
    <w:rsid w:val="00EA710C"/>
    <w:rsid w:val="00EB778D"/>
    <w:rsid w:val="00EC0EC3"/>
    <w:rsid w:val="00EC24A3"/>
    <w:rsid w:val="00ED0738"/>
    <w:rsid w:val="00ED182B"/>
    <w:rsid w:val="00ED282A"/>
    <w:rsid w:val="00ED2E08"/>
    <w:rsid w:val="00ED667A"/>
    <w:rsid w:val="00EE0622"/>
    <w:rsid w:val="00EE2CBD"/>
    <w:rsid w:val="00EE323C"/>
    <w:rsid w:val="00EE3D99"/>
    <w:rsid w:val="00EF28E8"/>
    <w:rsid w:val="00EF4DB5"/>
    <w:rsid w:val="00F0429A"/>
    <w:rsid w:val="00F113B3"/>
    <w:rsid w:val="00F13BE2"/>
    <w:rsid w:val="00F140EA"/>
    <w:rsid w:val="00F16667"/>
    <w:rsid w:val="00F27DE5"/>
    <w:rsid w:val="00F3029C"/>
    <w:rsid w:val="00F33B9C"/>
    <w:rsid w:val="00F34EAB"/>
    <w:rsid w:val="00F34F5D"/>
    <w:rsid w:val="00F41D45"/>
    <w:rsid w:val="00F43B25"/>
    <w:rsid w:val="00F53460"/>
    <w:rsid w:val="00F55B6D"/>
    <w:rsid w:val="00F65AAD"/>
    <w:rsid w:val="00F66E99"/>
    <w:rsid w:val="00F70758"/>
    <w:rsid w:val="00F716DE"/>
    <w:rsid w:val="00F71DFC"/>
    <w:rsid w:val="00F8400C"/>
    <w:rsid w:val="00F8688F"/>
    <w:rsid w:val="00F8712D"/>
    <w:rsid w:val="00F92630"/>
    <w:rsid w:val="00F9502F"/>
    <w:rsid w:val="00F97767"/>
    <w:rsid w:val="00FA02D0"/>
    <w:rsid w:val="00FA63C3"/>
    <w:rsid w:val="00FA7F0E"/>
    <w:rsid w:val="00FB1320"/>
    <w:rsid w:val="00FB1F67"/>
    <w:rsid w:val="00FB21D2"/>
    <w:rsid w:val="00FB2B6D"/>
    <w:rsid w:val="00FB3954"/>
    <w:rsid w:val="00FC47A8"/>
    <w:rsid w:val="00FC7D4D"/>
    <w:rsid w:val="00FD0156"/>
    <w:rsid w:val="00FD1146"/>
    <w:rsid w:val="00FD34CA"/>
    <w:rsid w:val="00FD3585"/>
    <w:rsid w:val="00FD37C7"/>
    <w:rsid w:val="00FD4316"/>
    <w:rsid w:val="00FE04C2"/>
    <w:rsid w:val="00FE352B"/>
    <w:rsid w:val="00FE59BB"/>
    <w:rsid w:val="00FE6C64"/>
    <w:rsid w:val="00FF2CAA"/>
    <w:rsid w:val="00FF37EE"/>
    <w:rsid w:val="00FF39CA"/>
    <w:rsid w:val="00FF566B"/>
    <w:rsid w:val="00FF7496"/>
    <w:rsid w:val="03A5AB17"/>
    <w:rsid w:val="0F2091D7"/>
    <w:rsid w:val="10582181"/>
    <w:rsid w:val="10B4FB14"/>
    <w:rsid w:val="14B05307"/>
    <w:rsid w:val="14C3A969"/>
    <w:rsid w:val="172A0504"/>
    <w:rsid w:val="18EE9A0E"/>
    <w:rsid w:val="1B892693"/>
    <w:rsid w:val="2DEE84E1"/>
    <w:rsid w:val="2F13E39C"/>
    <w:rsid w:val="363B2BE9"/>
    <w:rsid w:val="3B8A4EDE"/>
    <w:rsid w:val="3E0B97C5"/>
    <w:rsid w:val="40BFA82C"/>
    <w:rsid w:val="4238E436"/>
    <w:rsid w:val="426F83DA"/>
    <w:rsid w:val="44FAAFE4"/>
    <w:rsid w:val="4664288F"/>
    <w:rsid w:val="48732456"/>
    <w:rsid w:val="4A3B456A"/>
    <w:rsid w:val="4CDE6EB8"/>
    <w:rsid w:val="4FC2DD1E"/>
    <w:rsid w:val="5019E4D4"/>
    <w:rsid w:val="70FDE0FA"/>
    <w:rsid w:val="730F0864"/>
    <w:rsid w:val="755BA46E"/>
    <w:rsid w:val="76A42E6F"/>
    <w:rsid w:val="7D57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A743D9"/>
  <w15:chartTrackingRefBased/>
  <w15:docId w15:val="{77B11D35-7637-43EE-AEF0-AA2D2BBE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B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F113B3"/>
    <w:pPr>
      <w:keepNext/>
      <w:keepLines/>
      <w:tabs>
        <w:tab w:val="right" w:pos="4196"/>
        <w:tab w:val="right" w:pos="5046"/>
        <w:tab w:val="right" w:pos="5897"/>
        <w:tab w:val="right" w:pos="6747"/>
        <w:tab w:val="right" w:pos="7598"/>
      </w:tabs>
      <w:spacing w:after="600"/>
      <w:outlineLvl w:val="0"/>
    </w:pPr>
    <w:rPr>
      <w:rFonts w:eastAsia="Times New Roman" w:cs="Times New Roman"/>
      <w:bCs/>
      <w:caps/>
      <w:color w:val="00426F"/>
      <w:sz w:val="40"/>
      <w:szCs w:val="28"/>
      <w:lang w:val="en-AU" w:eastAsia="en-AU"/>
    </w:rPr>
  </w:style>
  <w:style w:type="paragraph" w:styleId="Heading2">
    <w:name w:val="heading 2"/>
    <w:basedOn w:val="Normal"/>
    <w:next w:val="BodyText"/>
    <w:link w:val="Heading2Char"/>
    <w:qFormat/>
    <w:rsid w:val="008D39E2"/>
    <w:pPr>
      <w:keepNext/>
      <w:pBdr>
        <w:bottom w:val="single" w:sz="4" w:space="4" w:color="53C8E9"/>
      </w:pBdr>
      <w:autoSpaceDE/>
      <w:autoSpaceDN/>
      <w:spacing w:before="240" w:after="100"/>
      <w:outlineLvl w:val="1"/>
    </w:pPr>
    <w:rPr>
      <w:rFonts w:ascii="Arial Bold" w:eastAsia="Times New Roman" w:hAnsi="Arial Bold" w:cs="Times New Roman"/>
      <w:b/>
      <w:color w:val="53C8E9"/>
      <w:kern w:val="28"/>
      <w:sz w:val="28"/>
      <w:szCs w:val="36"/>
      <w:lang w:val="en-AU"/>
    </w:rPr>
  </w:style>
  <w:style w:type="paragraph" w:styleId="Heading3">
    <w:name w:val="heading 3"/>
    <w:basedOn w:val="Heading2"/>
    <w:next w:val="BodyText"/>
    <w:link w:val="Heading3Char"/>
    <w:qFormat/>
    <w:rsid w:val="00F113B3"/>
    <w:pPr>
      <w:pBdr>
        <w:bottom w:val="none" w:sz="0" w:space="0" w:color="auto"/>
      </w:pBdr>
      <w:spacing w:before="320" w:after="120" w:line="320" w:lineRule="exac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0957F3"/>
    <w:pPr>
      <w:keepNext w:val="0"/>
      <w:tabs>
        <w:tab w:val="left" w:pos="567"/>
      </w:tabs>
      <w:spacing w:before="360" w:after="100"/>
      <w:outlineLvl w:val="3"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13B3"/>
    <w:rPr>
      <w:rFonts w:ascii="Arial" w:eastAsia="Times New Roman" w:hAnsi="Arial" w:cs="Times New Roman"/>
      <w:bCs/>
      <w:caps/>
      <w:color w:val="00426F"/>
      <w:sz w:val="40"/>
      <w:szCs w:val="28"/>
      <w:lang w:eastAsia="en-AU"/>
    </w:rPr>
  </w:style>
  <w:style w:type="character" w:customStyle="1" w:styleId="Heading2Char">
    <w:name w:val="Heading 2 Char"/>
    <w:link w:val="Heading2"/>
    <w:rsid w:val="00F113B3"/>
    <w:rPr>
      <w:rFonts w:ascii="Arial Bold" w:eastAsia="Times New Roman" w:hAnsi="Arial Bold" w:cs="Times New Roman"/>
      <w:b/>
      <w:color w:val="53C8E9"/>
      <w:kern w:val="28"/>
      <w:sz w:val="28"/>
      <w:szCs w:val="36"/>
    </w:rPr>
  </w:style>
  <w:style w:type="character" w:customStyle="1" w:styleId="Heading4Char">
    <w:name w:val="Heading 4 Char"/>
    <w:link w:val="Heading4"/>
    <w:rsid w:val="000957F3"/>
    <w:rPr>
      <w:rFonts w:ascii="Arial Bold" w:eastAsia="Arial Unicode MS" w:hAnsi="Arial Bold" w:cs="Times New Roman"/>
      <w:b/>
      <w:kern w:val="28"/>
      <w:sz w:val="24"/>
      <w:szCs w:val="36"/>
    </w:rPr>
  </w:style>
  <w:style w:type="paragraph" w:styleId="BodyText">
    <w:name w:val="Body Text"/>
    <w:link w:val="BodyTextChar"/>
    <w:autoRedefine/>
    <w:rsid w:val="00F113B3"/>
    <w:pPr>
      <w:spacing w:before="160" w:after="100" w:line="240" w:lineRule="atLeast"/>
    </w:pPr>
    <w:rPr>
      <w:rFonts w:ascii="Arial" w:hAnsi="Arial" w:cs="Arial"/>
      <w:bCs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F113B3"/>
    <w:rPr>
      <w:rFonts w:ascii="Arial" w:hAnsi="Arial" w:cs="Arial"/>
      <w:bCs/>
      <w:sz w:val="23"/>
      <w:szCs w:val="20"/>
    </w:rPr>
  </w:style>
  <w:style w:type="paragraph" w:styleId="ListParagraph">
    <w:name w:val="List Paragraph"/>
    <w:basedOn w:val="Normal"/>
    <w:uiPriority w:val="1"/>
    <w:qFormat/>
    <w:rsid w:val="00637B53"/>
    <w:pPr>
      <w:ind w:left="510" w:hanging="357"/>
    </w:pPr>
  </w:style>
  <w:style w:type="paragraph" w:customStyle="1" w:styleId="TableParagraph">
    <w:name w:val="Table Paragraph"/>
    <w:basedOn w:val="Normal"/>
    <w:uiPriority w:val="1"/>
    <w:qFormat/>
    <w:rsid w:val="00637B53"/>
    <w:pPr>
      <w:spacing w:before="11"/>
      <w:jc w:val="right"/>
    </w:pPr>
  </w:style>
  <w:style w:type="paragraph" w:styleId="Header">
    <w:name w:val="header"/>
    <w:basedOn w:val="Normal"/>
    <w:link w:val="HeaderChar"/>
    <w:uiPriority w:val="99"/>
    <w:unhideWhenUsed/>
    <w:rsid w:val="00637B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5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nhideWhenUsed/>
    <w:rsid w:val="00637B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7B53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C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F0"/>
    <w:rPr>
      <w:rFonts w:ascii="Segoe UI" w:eastAsia="Arial" w:hAnsi="Segoe UI" w:cs="Segoe UI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5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585"/>
    <w:rPr>
      <w:rFonts w:ascii="Arial" w:eastAsia="Arial" w:hAnsi="Arial" w:cs="Arial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35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B6D"/>
    <w:rPr>
      <w:rFonts w:ascii="Arial" w:eastAsia="Arial" w:hAnsi="Arial" w:cs="Arial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FB2B6D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B2B6D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75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B77E9D"/>
    <w:pPr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BodyTextBox">
    <w:name w:val="Body Text Box"/>
    <w:basedOn w:val="Normal"/>
    <w:link w:val="BodyTextBoxChar"/>
    <w:autoRedefine/>
    <w:rsid w:val="00C13DD6"/>
    <w:pPr>
      <w:widowControl/>
      <w:autoSpaceDE/>
      <w:autoSpaceDN/>
      <w:spacing w:before="120" w:after="80" w:line="240" w:lineRule="atLeast"/>
    </w:pPr>
    <w:rPr>
      <w:rFonts w:eastAsia="Times New Roman"/>
      <w:color w:val="008EBA"/>
      <w:sz w:val="23"/>
      <w:szCs w:val="23"/>
      <w:lang w:val="en-AU"/>
    </w:rPr>
  </w:style>
  <w:style w:type="character" w:customStyle="1" w:styleId="BodyTextBoxChar">
    <w:name w:val="Body Text Box Char"/>
    <w:link w:val="BodyTextBox"/>
    <w:rsid w:val="00C13DD6"/>
    <w:rPr>
      <w:rFonts w:ascii="Arial" w:eastAsia="Times New Roman" w:hAnsi="Arial" w:cs="Arial"/>
      <w:color w:val="008EBA"/>
      <w:sz w:val="23"/>
      <w:szCs w:val="23"/>
    </w:rPr>
  </w:style>
  <w:style w:type="paragraph" w:customStyle="1" w:styleId="Bullet1">
    <w:name w:val="Bullet 1"/>
    <w:basedOn w:val="BodyText"/>
    <w:link w:val="Bullet1Char"/>
    <w:autoRedefine/>
    <w:qFormat/>
    <w:rsid w:val="00040604"/>
    <w:pPr>
      <w:numPr>
        <w:numId w:val="17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rsid w:val="00040604"/>
    <w:rPr>
      <w:rFonts w:ascii="Arial" w:eastAsia="Times New Roman" w:hAnsi="Arial" w:cs="Arial"/>
      <w:bCs/>
      <w:sz w:val="23"/>
      <w:szCs w:val="20"/>
    </w:rPr>
  </w:style>
  <w:style w:type="paragraph" w:customStyle="1" w:styleId="Bullet1inabox">
    <w:name w:val="Bullet 1 in a box"/>
    <w:basedOn w:val="Bullet1"/>
    <w:autoRedefine/>
    <w:rsid w:val="00C13DD6"/>
    <w:pPr>
      <w:numPr>
        <w:numId w:val="0"/>
      </w:numPr>
      <w:spacing w:before="100" w:after="60"/>
    </w:pPr>
    <w:rPr>
      <w:rFonts w:eastAsiaTheme="minorHAnsi" w:cs="Times New Roman"/>
      <w:color w:val="008EBA"/>
    </w:rPr>
  </w:style>
  <w:style w:type="paragraph" w:customStyle="1" w:styleId="Bullet2">
    <w:name w:val="Bullet 2"/>
    <w:basedOn w:val="Bullet1"/>
    <w:rsid w:val="00C13DD6"/>
    <w:pPr>
      <w:numPr>
        <w:numId w:val="18"/>
      </w:numPr>
      <w:tabs>
        <w:tab w:val="clear" w:pos="785"/>
        <w:tab w:val="left" w:pos="851"/>
      </w:tabs>
    </w:pPr>
    <w:rPr>
      <w:bCs w:val="0"/>
    </w:rPr>
  </w:style>
  <w:style w:type="paragraph" w:customStyle="1" w:styleId="Bullet2inabox">
    <w:name w:val="Bullet 2 in a box"/>
    <w:basedOn w:val="Normal"/>
    <w:qFormat/>
    <w:rsid w:val="00C13DD6"/>
    <w:pPr>
      <w:widowControl/>
      <w:numPr>
        <w:numId w:val="19"/>
      </w:numPr>
      <w:autoSpaceDE/>
      <w:autoSpaceDN/>
      <w:spacing w:before="100" w:after="60" w:line="240" w:lineRule="atLeast"/>
    </w:pPr>
    <w:rPr>
      <w:rFonts w:eastAsia="Times New Roman" w:cs="Times New Roman"/>
      <w:color w:val="000000" w:themeColor="text1"/>
      <w:sz w:val="23"/>
      <w:szCs w:val="20"/>
      <w:lang w:val="en-AU"/>
    </w:rPr>
  </w:style>
  <w:style w:type="character" w:customStyle="1" w:styleId="Heading3Char">
    <w:name w:val="Heading 3 Char"/>
    <w:link w:val="Heading3"/>
    <w:rsid w:val="00F113B3"/>
    <w:rPr>
      <w:rFonts w:ascii="Arial Bold" w:eastAsia="Times New Roman" w:hAnsi="Arial Bold" w:cs="Times New Roman"/>
      <w:b/>
      <w:kern w:val="28"/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11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80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569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24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documenttasks/documenttasks1.xml><?xml version="1.0" encoding="utf-8"?>
<t:Tasks xmlns:t="http://schemas.microsoft.com/office/tasks/2019/documenttasks">
  <t:Task id="{7F0385C1-4298-48CD-9A3F-EEFCAD25219A}">
    <t:Anchor>
      <t:Comment id="591577329"/>
    </t:Anchor>
    <t:History>
      <t:Event id="{683851B1-E4B8-45B0-A685-A2B0BE4A6538}" time="2020-10-27T05:09:02Z">
        <t:Attribution userId="S::tegan.tembe1@treasury.nsw.gov.au::a8887808-8685-4999-a6b3-8b823461b606" userProvider="AD" userName="Tegan Tembe"/>
        <t:Anchor>
          <t:Comment id="124397825"/>
        </t:Anchor>
        <t:Create/>
      </t:Event>
      <t:Event id="{DC33686C-4E68-469C-88E1-75ED039C3C99}" time="2020-10-27T05:09:02Z">
        <t:Attribution userId="S::tegan.tembe1@treasury.nsw.gov.au::a8887808-8685-4999-a6b3-8b823461b606" userProvider="AD" userName="Tegan Tembe"/>
        <t:Anchor>
          <t:Comment id="124397825"/>
        </t:Anchor>
        <t:Assign userId="S::Angela.McIlwain2@treasury.nsw.gov.au::ae10aa57-31ce-4955-bbfb-ac2613e54183" userProvider="AD" userName="Angela McIlwain"/>
      </t:Event>
      <t:Event id="{04EBB9E6-17C9-4DDB-96B9-B10BA7DEB03C}" time="2020-10-27T05:09:02Z">
        <t:Attribution userId="S::tegan.tembe1@treasury.nsw.gov.au::a8887808-8685-4999-a6b3-8b823461b606" userProvider="AD" userName="Tegan Tembe"/>
        <t:Anchor>
          <t:Comment id="124397825"/>
        </t:Anchor>
        <t:SetTitle title="@Angela McIlwain I think his comment is that &quot;programs &amp; metrics..&quot;, perhaps we could include another dot point to say: - note that Programs and Program Performance Measures are being further refined as the Outcome Budgeting Framework continues to …"/>
      </t:Event>
      <t:Event id="{2FDE0DA1-733D-4EFE-9156-30F1BD369793}" time="2020-10-27T05:29:36Z">
        <t:Attribution userId="S::tegan.tembe1@treasury.nsw.gov.au::a8887808-8685-4999-a6b3-8b823461b606" userProvider="AD" userName="Tegan Temb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Melissa Power</DisplayName>
        <AccountId>45</AccountId>
        <AccountType/>
      </UserInfo>
    </SharedWithUsers>
    <_Flow_SignoffStatus xmlns="1c478e85-8130-4c67-8ee4-8bdf1c0e604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E774-BF92-42B5-BF31-FC847F24D248}"/>
</file>

<file path=customXml/itemProps2.xml><?xml version="1.0" encoding="utf-8"?>
<ds:datastoreItem xmlns:ds="http://schemas.openxmlformats.org/officeDocument/2006/customXml" ds:itemID="{43FC997B-4111-4E3F-96CF-3AC6AEC2E9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FF9E5-4CDB-4D20-8BDF-DC4CDF9A169D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fa62a3fb-0efd-471f-ada0-4362a0e3180e"/>
    <ds:schemaRef ds:uri="http://schemas.openxmlformats.org/package/2006/metadata/core-properties"/>
    <ds:schemaRef ds:uri="9e2f8915-0cb2-4410-9b4a-efd68f2a53e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D94C663-1485-4FB3-AD11-5E5B1F27A7F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2 - Ouctomes Statements - About this budget paper</vt:lpstr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2 - Ouctomes Statements - About this budget paper</dc:title>
  <dc:subject/>
  <dc:creator>Janette Semerdjian</dc:creator>
  <cp:keywords>The Treasury</cp:keywords>
  <dc:description/>
  <cp:lastModifiedBy>Angela McIlwain</cp:lastModifiedBy>
  <cp:revision>55</cp:revision>
  <dcterms:created xsi:type="dcterms:W3CDTF">2020-11-08T22:37:00Z</dcterms:created>
  <dcterms:modified xsi:type="dcterms:W3CDTF">2020-11-12T10:25:00Z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</Properties>
</file>