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1.xml" ContentType="application/vnd.ms-office.classificationlabels+xml"/>
  <Override PartName="/docMetadata/LabelInfo19.xml" ContentType="application/vnd.ms-office.classificationlabels+xml"/>
  <Override PartName="/docMetadata/LabelInfo14.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0.xml" ContentType="application/vnd.ms-office.classificationlabels+xml"/>
  <Override PartName="/docMetadata/LabelInfo18.xml" ContentType="application/vnd.ms-office.classificationlabels+xml"/>
  <Override PartName="/docMetadata/LabelInfo9.xml" ContentType="application/vnd.ms-office.classificationlabels+xml"/>
  <Override PartName="/docMetadata/LabelInfo13.xml" ContentType="application/vnd.ms-office.classificationlabels+xml"/>
  <Override PartName="/docMetadata/LabelInfo22.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17.xml" ContentType="application/vnd.ms-office.classificationlabels+xml"/>
  <Override PartName="/docMetadata/LabelInfo25.xml" ContentType="application/vnd.ms-office.classificationlabels+xml"/>
  <Override PartName="/docMetadata/LabelInfo3.xml" ContentType="application/vnd.ms-office.classificationlabels+xml"/>
  <Override PartName="/docMetadata/LabelInfo15.xml" ContentType="application/vnd.ms-office.classificationlabels+xml"/>
  <Override PartName="/docMetadata/LabelInfo21.xml" ContentType="application/vnd.ms-office.classificationlabels+xml"/>
  <Override PartName="/docMetadata/LabelInfo20.xml" ContentType="application/vnd.ms-office.classificationlabels+xml"/>
  <Override PartName="/docMetadata/LabelInfo4.xml" ContentType="application/vnd.ms-office.classificationlabels+xml"/>
  <Override PartName="/docMetadata/LabelInfo23.xml" ContentType="application/vnd.ms-office.classificationlabels+xml"/>
  <Override PartName="/docMetadata/LabelInfo.xml" ContentType="application/vnd.ms-office.classificationlabels+xml"/>
  <Override PartName="/docMetadata/LabelInfo24.xml" ContentType="application/vnd.ms-office.classificationlabels+xml"/>
  <Override PartName="/docMetadata/LabelInfo16.xml" ContentType="application/vnd.ms-office.classificationlabels+xml"/>
  <Override PartName="/docMetadata/LabelInfo12.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18" Type="http://schemas.microsoft.com/office/2020/02/relationships/classificationlabels" Target="docMetadata/LabelInfo11.xml"/><Relationship Id="rId26" Type="http://schemas.microsoft.com/office/2020/02/relationships/classificationlabels" Target="docMetadata/LabelInfo19.xml"/><Relationship Id="rId3" Type="http://schemas.openxmlformats.org/officeDocument/2006/relationships/extended-properties" Target="docProps/app.xml"/><Relationship Id="rId21" Type="http://schemas.microsoft.com/office/2020/02/relationships/classificationlabels" Target="docMetadata/LabelInfo14.xml"/><Relationship Id="rId7" Type="http://schemas.microsoft.com/office/2020/02/relationships/classificationlabels" Target="docMetadata/LabelInfo1.xml"/><Relationship Id="rId12" Type="http://schemas.microsoft.com/office/2020/02/relationships/classificationlabels" Target="docMetadata/LabelInfo6.xml"/><Relationship Id="rId17" Type="http://schemas.microsoft.com/office/2020/02/relationships/classificationlabels" Target="docMetadata/LabelInfo10.xml"/><Relationship Id="rId25" Type="http://schemas.microsoft.com/office/2020/02/relationships/classificationlabels" Target="docMetadata/LabelInfo18.xml"/><Relationship Id="rId2" Type="http://schemas.openxmlformats.org/package/2006/relationships/metadata/core-properties" Target="docProps/core.xml"/><Relationship Id="rId16" Type="http://schemas.microsoft.com/office/2020/02/relationships/classificationlabels" Target="docMetadata/LabelInfo9.xml"/><Relationship Id="rId20" Type="http://schemas.microsoft.com/office/2020/02/relationships/classificationlabels" Target="docMetadata/LabelInfo13.xml"/><Relationship Id="rId29" Type="http://schemas.microsoft.com/office/2020/02/relationships/classificationlabels" Target="docMetadata/LabelInfo22.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24" Type="http://schemas.microsoft.com/office/2020/02/relationships/classificationlabels" Target="docMetadata/LabelInfo17.xml"/><Relationship Id="rId32" Type="http://schemas.microsoft.com/office/2020/02/relationships/classificationlabels" Target="docMetadata/LabelInfo25.xml"/><Relationship Id="rId15" Type="http://schemas.microsoft.com/office/2020/02/relationships/classificationlabels" Target="docMetadata/LabelInfo3.xml"/><Relationship Id="rId23" Type="http://schemas.microsoft.com/office/2020/02/relationships/classificationlabels" Target="docMetadata/LabelInfo15.xml"/><Relationship Id="rId28" Type="http://schemas.microsoft.com/office/2020/02/relationships/classificationlabels" Target="docMetadata/LabelInfo21.xml"/><Relationship Id="rId19" Type="http://schemas.microsoft.com/office/2020/02/relationships/classificationlabels" Target="docMetadata/LabelInfo20.xml"/><Relationship Id="rId10" Type="http://schemas.microsoft.com/office/2020/02/relationships/classificationlabels" Target="docMetadata/LabelInfo4.xml"/><Relationship Id="rId31" Type="http://schemas.microsoft.com/office/2020/02/relationships/classificationlabels" Target="docMetadata/LabelInfo23.xml"/><Relationship Id="rId4" Type="http://schemas.openxmlformats.org/officeDocument/2006/relationships/custom-properties" Target="docProps/custom.xml"/><Relationship Id="rId27" Type="http://schemas.microsoft.com/office/2020/02/relationships/classificationlabels" Target="docMetadata/LabelInfo.xml"/><Relationship Id="rId30" Type="http://schemas.microsoft.com/office/2020/02/relationships/classificationlabels" Target="docMetadata/LabelInfo24.xml"/><Relationship Id="rId22" Type="http://schemas.microsoft.com/office/2020/02/relationships/classificationlabels" Target="docMetadata/LabelInfo16.xml"/><Relationship Id="rId14" Type="http://schemas.microsoft.com/office/2020/02/relationships/classificationlabels" Target="docMetadata/LabelInfo12.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2C27" w14:textId="695BD2BE" w:rsidR="00693D94" w:rsidRPr="001251E4" w:rsidRDefault="00EC7B4C" w:rsidP="00693D94">
      <w:pPr>
        <w:pStyle w:val="Heading1"/>
        <w:spacing w:before="480" w:after="480"/>
        <w:ind w:left="709" w:hanging="709"/>
        <w:rPr>
          <w:rFonts w:cs="Arial"/>
        </w:rPr>
      </w:pPr>
      <w:bookmarkStart w:id="0" w:name="_Toc516321111"/>
      <w:bookmarkStart w:id="1" w:name="_Hlk514665625"/>
      <w:bookmarkStart w:id="2" w:name="_Hlk514665378"/>
      <w:r w:rsidRPr="001251E4">
        <w:rPr>
          <w:rFonts w:cs="Arial"/>
        </w:rPr>
        <w:t>6</w:t>
      </w:r>
      <w:r w:rsidR="00693D94" w:rsidRPr="001251E4">
        <w:rPr>
          <w:rFonts w:cs="Arial"/>
        </w:rPr>
        <w:t xml:space="preserve">. </w:t>
      </w:r>
      <w:r w:rsidR="00693D94" w:rsidRPr="001251E4">
        <w:rPr>
          <w:rFonts w:cs="Arial"/>
        </w:rPr>
        <w:tab/>
      </w:r>
      <w:r w:rsidRPr="001251E4">
        <w:rPr>
          <w:rFonts w:cs="Arial"/>
        </w:rPr>
        <w:t>REGIONAL NSW</w:t>
      </w:r>
      <w:r w:rsidR="00693D94" w:rsidRPr="001251E4">
        <w:rPr>
          <w:rFonts w:cs="Arial"/>
        </w:rPr>
        <w:t xml:space="preserve"> CLUSTER</w:t>
      </w:r>
      <w:bookmarkEnd w:id="0"/>
    </w:p>
    <w:p w14:paraId="6620884D" w14:textId="5DC25694" w:rsidR="3818E07E" w:rsidRDefault="00693D94" w:rsidP="00821BB0">
      <w:pPr>
        <w:pStyle w:val="Heading2"/>
      </w:pPr>
      <w:r w:rsidRPr="66201915">
        <w:t>Introduction</w:t>
      </w:r>
      <w:r w:rsidR="00E17320" w:rsidRPr="66201915">
        <w:t xml:space="preserve"> </w:t>
      </w:r>
    </w:p>
    <w:tbl>
      <w:tblPr>
        <w:tblpPr w:leftFromText="180" w:rightFromText="180" w:vertAnchor="text" w:horzAnchor="margin" w:tblpXSpec="right" w:tblpY="227"/>
        <w:tblW w:w="1716" w:type="pct"/>
        <w:shd w:val="clear" w:color="auto" w:fill="F2F2F2" w:themeFill="background1" w:themeFillShade="F2"/>
        <w:tblCellMar>
          <w:left w:w="115" w:type="dxa"/>
          <w:right w:w="115" w:type="dxa"/>
        </w:tblCellMar>
        <w:tblLook w:val="04A0" w:firstRow="1" w:lastRow="0" w:firstColumn="1" w:lastColumn="0" w:noHBand="0" w:noVBand="1"/>
        <w:tblCaption w:val="Regional NSW Cluster"/>
      </w:tblPr>
      <w:tblGrid>
        <w:gridCol w:w="1144"/>
        <w:gridCol w:w="967"/>
        <w:gridCol w:w="1197"/>
      </w:tblGrid>
      <w:tr w:rsidR="00693D94" w:rsidRPr="00F8244B" w14:paraId="48B20D28" w14:textId="77777777" w:rsidTr="00F51D5A">
        <w:trPr>
          <w:cantSplit/>
          <w:trHeight w:val="784"/>
        </w:trPr>
        <w:tc>
          <w:tcPr>
            <w:tcW w:w="1729" w:type="pct"/>
            <w:shd w:val="clear" w:color="auto" w:fill="F2F2F2" w:themeFill="background1" w:themeFillShade="F2"/>
            <w:vAlign w:val="center"/>
          </w:tcPr>
          <w:p w14:paraId="1B6A884D" w14:textId="77777777" w:rsidR="00693D94" w:rsidRPr="00F8244B" w:rsidRDefault="00693D94" w:rsidP="00FD4913">
            <w:pPr>
              <w:spacing w:before="120" w:after="120"/>
              <w:rPr>
                <w:rFonts w:ascii="Arial" w:hAnsi="Arial" w:cs="Arial"/>
                <w:sz w:val="23"/>
                <w:szCs w:val="23"/>
              </w:rPr>
            </w:pPr>
            <w:r w:rsidRPr="00F8244B">
              <w:rPr>
                <w:rFonts w:ascii="Arial" w:hAnsi="Arial" w:cs="Arial"/>
                <w:noProof/>
                <w:lang w:eastAsia="en-AU"/>
              </w:rPr>
              <w:drawing>
                <wp:inline distT="0" distB="0" distL="0" distR="0" wp14:anchorId="750F4E2E" wp14:editId="67373837">
                  <wp:extent cx="518160" cy="518160"/>
                  <wp:effectExtent l="0" t="0" r="0" b="0"/>
                  <wp:docPr id="2" name="Picture 2"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3E4844CE" w14:textId="77777777" w:rsidR="003D1DBD" w:rsidRPr="00D61C88" w:rsidRDefault="562BA290" w:rsidP="003D1DBD">
            <w:pPr>
              <w:spacing w:after="0"/>
              <w:jc w:val="center"/>
              <w:rPr>
                <w:rFonts w:ascii="Arial" w:hAnsi="Arial" w:cs="Arial"/>
                <w:color w:val="00ABE6"/>
                <w:sz w:val="18"/>
                <w:szCs w:val="18"/>
              </w:rPr>
            </w:pPr>
            <w:r w:rsidRPr="00D61C88">
              <w:rPr>
                <w:rFonts w:ascii="Arial" w:hAnsi="Arial" w:cs="Arial"/>
                <w:color w:val="00ABE6"/>
                <w:sz w:val="18"/>
                <w:szCs w:val="18"/>
              </w:rPr>
              <w:t xml:space="preserve">$2.4 </w:t>
            </w:r>
          </w:p>
          <w:p w14:paraId="60FBB329" w14:textId="7821A873" w:rsidR="00693D94" w:rsidRPr="00D61C88" w:rsidRDefault="562BA290" w:rsidP="003D1DBD">
            <w:pPr>
              <w:spacing w:after="0"/>
              <w:jc w:val="center"/>
              <w:rPr>
                <w:rFonts w:ascii="Arial" w:hAnsi="Arial" w:cs="Arial"/>
                <w:color w:val="00ABE6"/>
                <w:sz w:val="18"/>
                <w:szCs w:val="18"/>
              </w:rPr>
            </w:pPr>
            <w:r w:rsidRPr="00D61C88">
              <w:rPr>
                <w:rFonts w:ascii="Arial" w:hAnsi="Arial" w:cs="Arial"/>
                <w:color w:val="00ABE6"/>
                <w:sz w:val="18"/>
                <w:szCs w:val="18"/>
              </w:rPr>
              <w:t>billion</w:t>
            </w:r>
          </w:p>
        </w:tc>
        <w:tc>
          <w:tcPr>
            <w:tcW w:w="1809" w:type="pct"/>
            <w:shd w:val="clear" w:color="auto" w:fill="F2F2F2" w:themeFill="background1" w:themeFillShade="F2"/>
            <w:vAlign w:val="center"/>
          </w:tcPr>
          <w:p w14:paraId="331506C9" w14:textId="0129AECA" w:rsidR="00693D94" w:rsidRPr="00F8244B" w:rsidRDefault="562BA290" w:rsidP="00FD4913">
            <w:pPr>
              <w:rPr>
                <w:rFonts w:ascii="Arial" w:hAnsi="Arial" w:cs="Arial"/>
                <w:color w:val="00ABE6"/>
                <w:sz w:val="18"/>
                <w:szCs w:val="18"/>
              </w:rPr>
            </w:pPr>
            <w:r w:rsidRPr="562BA290">
              <w:rPr>
                <w:rFonts w:ascii="Arial" w:hAnsi="Arial" w:cs="Arial"/>
                <w:color w:val="00ABE6"/>
                <w:sz w:val="18"/>
                <w:szCs w:val="18"/>
              </w:rPr>
              <w:t>Recurrent</w:t>
            </w:r>
            <w:r w:rsidR="00693D94">
              <w:br/>
            </w:r>
            <w:r w:rsidRPr="562BA290">
              <w:rPr>
                <w:rFonts w:ascii="Arial" w:hAnsi="Arial" w:cs="Arial"/>
                <w:color w:val="00ABE6"/>
                <w:sz w:val="18"/>
                <w:szCs w:val="18"/>
              </w:rPr>
              <w:t xml:space="preserve">Expenses </w:t>
            </w:r>
            <w:r w:rsidR="00693D94">
              <w:br/>
            </w:r>
            <w:r w:rsidRPr="562BA290">
              <w:rPr>
                <w:rFonts w:ascii="Arial" w:hAnsi="Arial" w:cs="Arial"/>
                <w:color w:val="00ABE6"/>
                <w:sz w:val="18"/>
                <w:szCs w:val="18"/>
              </w:rPr>
              <w:t>2020-21</w:t>
            </w:r>
          </w:p>
        </w:tc>
      </w:tr>
      <w:tr w:rsidR="00693D94" w:rsidRPr="00F8244B" w14:paraId="2F6DBC8F" w14:textId="77777777" w:rsidTr="00F51D5A">
        <w:trPr>
          <w:cantSplit/>
          <w:trHeight w:val="784"/>
        </w:trPr>
        <w:tc>
          <w:tcPr>
            <w:tcW w:w="1729" w:type="pct"/>
            <w:shd w:val="clear" w:color="auto" w:fill="F2F2F2" w:themeFill="background1" w:themeFillShade="F2"/>
            <w:vAlign w:val="center"/>
          </w:tcPr>
          <w:p w14:paraId="71AFA3F3" w14:textId="77777777" w:rsidR="00693D94" w:rsidRPr="00F8244B" w:rsidRDefault="00693D94" w:rsidP="00FD4913">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4C747969" wp14:editId="2B628C69">
                  <wp:extent cx="525145" cy="525145"/>
                  <wp:effectExtent l="0" t="0" r="8255" b="8255"/>
                  <wp:docPr id="4" name="Picture 4"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A319B1C" w14:textId="05A0BDA3" w:rsidR="00693D94" w:rsidRPr="00D61C88" w:rsidRDefault="562BA290" w:rsidP="00FD4913">
            <w:pPr>
              <w:spacing w:before="120" w:after="120"/>
              <w:jc w:val="center"/>
              <w:rPr>
                <w:rFonts w:ascii="Arial" w:hAnsi="Arial" w:cs="Arial"/>
                <w:color w:val="00ABE6"/>
                <w:sz w:val="18"/>
                <w:szCs w:val="18"/>
              </w:rPr>
            </w:pPr>
            <w:r w:rsidRPr="00D61C88">
              <w:rPr>
                <w:rFonts w:ascii="Arial" w:hAnsi="Arial" w:cs="Arial"/>
                <w:color w:val="00ABE6"/>
                <w:sz w:val="18"/>
                <w:szCs w:val="18"/>
              </w:rPr>
              <w:t>$31</w:t>
            </w:r>
            <w:r w:rsidR="002B62D2" w:rsidRPr="00D61C88">
              <w:rPr>
                <w:rFonts w:ascii="Arial" w:hAnsi="Arial" w:cs="Arial"/>
                <w:color w:val="00ABE6"/>
                <w:sz w:val="18"/>
                <w:szCs w:val="18"/>
              </w:rPr>
              <w:t>5</w:t>
            </w:r>
            <w:r w:rsidRPr="00D61C88">
              <w:rPr>
                <w:rFonts w:ascii="Arial" w:hAnsi="Arial" w:cs="Arial"/>
                <w:color w:val="00ABE6"/>
                <w:sz w:val="18"/>
                <w:szCs w:val="18"/>
              </w:rPr>
              <w:t>.</w:t>
            </w:r>
            <w:r w:rsidR="002B62D2" w:rsidRPr="00D61C88">
              <w:rPr>
                <w:rFonts w:ascii="Arial" w:hAnsi="Arial" w:cs="Arial"/>
                <w:color w:val="00ABE6"/>
                <w:sz w:val="18"/>
                <w:szCs w:val="18"/>
              </w:rPr>
              <w:t>9</w:t>
            </w:r>
            <w:r w:rsidRPr="00D61C88">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5C18687F" w14:textId="5F759367" w:rsidR="00693D94" w:rsidRPr="00F8244B" w:rsidRDefault="00693D94" w:rsidP="00FD4913">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sidR="00210743">
              <w:rPr>
                <w:rFonts w:ascii="Arial" w:hAnsi="Arial" w:cs="Arial"/>
                <w:color w:val="00ABE6"/>
                <w:sz w:val="18"/>
                <w:szCs w:val="18"/>
              </w:rPr>
              <w:t>20</w:t>
            </w:r>
            <w:r w:rsidRPr="00F8244B">
              <w:rPr>
                <w:rFonts w:ascii="Arial" w:hAnsi="Arial" w:cs="Arial"/>
                <w:color w:val="00ABE6"/>
                <w:sz w:val="18"/>
                <w:szCs w:val="18"/>
              </w:rPr>
              <w:t>-2</w:t>
            </w:r>
            <w:r w:rsidR="00210743">
              <w:rPr>
                <w:rFonts w:ascii="Arial" w:hAnsi="Arial" w:cs="Arial"/>
                <w:color w:val="00ABE6"/>
                <w:sz w:val="18"/>
                <w:szCs w:val="18"/>
              </w:rPr>
              <w:t>1</w:t>
            </w:r>
          </w:p>
        </w:tc>
      </w:tr>
    </w:tbl>
    <w:p w14:paraId="5E71150A" w14:textId="67E6CA35" w:rsidR="00B42A6B" w:rsidRPr="0035164E" w:rsidRDefault="562BA290" w:rsidP="004052A2">
      <w:pPr>
        <w:pStyle w:val="BodyText"/>
      </w:pPr>
      <w:bookmarkStart w:id="3" w:name="_Hlk7443651"/>
      <w:bookmarkStart w:id="4" w:name="_Hlk7525417"/>
      <w:r w:rsidRPr="562BA290">
        <w:t xml:space="preserve">The Regional NSW </w:t>
      </w:r>
      <w:r w:rsidR="008E3560">
        <w:t>Cluster</w:t>
      </w:r>
      <w:r w:rsidRPr="562BA290">
        <w:t xml:space="preserve"> works to maximise the long-term wellbeing of </w:t>
      </w:r>
      <w:r w:rsidR="001263AA">
        <w:t>r</w:t>
      </w:r>
      <w:r w:rsidRPr="562BA290">
        <w:t>egional N</w:t>
      </w:r>
      <w:r w:rsidR="001263AA">
        <w:t xml:space="preserve">ew </w:t>
      </w:r>
      <w:r w:rsidRPr="562BA290">
        <w:t>S</w:t>
      </w:r>
      <w:r w:rsidR="001263AA">
        <w:t xml:space="preserve">outh </w:t>
      </w:r>
      <w:r w:rsidRPr="562BA290">
        <w:t>W</w:t>
      </w:r>
      <w:r w:rsidR="001263AA">
        <w:t xml:space="preserve">ales and </w:t>
      </w:r>
      <w:r w:rsidR="005B5D1C">
        <w:t>is</w:t>
      </w:r>
      <w:r w:rsidRPr="562BA290">
        <w:t xml:space="preserve"> committed to making </w:t>
      </w:r>
      <w:r w:rsidR="001263AA">
        <w:t>the</w:t>
      </w:r>
      <w:r w:rsidR="005613CA">
        <w:t>se</w:t>
      </w:r>
      <w:r w:rsidR="001263AA">
        <w:t xml:space="preserve"> </w:t>
      </w:r>
      <w:r w:rsidRPr="562BA290">
        <w:t>regions</w:t>
      </w:r>
      <w:r w:rsidR="006403A0">
        <w:t xml:space="preserve"> a</w:t>
      </w:r>
      <w:r w:rsidR="005613CA">
        <w:t xml:space="preserve"> </w:t>
      </w:r>
      <w:r w:rsidRPr="562BA290">
        <w:t>great place to live, work, visit and do business.</w:t>
      </w:r>
    </w:p>
    <w:p w14:paraId="1129290D" w14:textId="7ED94A78" w:rsidR="00693D94" w:rsidRPr="0035164E" w:rsidRDefault="007040F3" w:rsidP="004052A2">
      <w:pPr>
        <w:pStyle w:val="BodyText"/>
      </w:pPr>
      <w:r w:rsidRPr="0035164E">
        <w:t xml:space="preserve">As </w:t>
      </w:r>
      <w:r w:rsidR="00AD5E1E">
        <w:t xml:space="preserve">the </w:t>
      </w:r>
      <w:r w:rsidRPr="0035164E">
        <w:t xml:space="preserve">agency for regional issues, </w:t>
      </w:r>
      <w:r w:rsidR="00BD6D1E" w:rsidRPr="0035164E">
        <w:t xml:space="preserve">Regional </w:t>
      </w:r>
      <w:r w:rsidRPr="0035164E">
        <w:t>NSW</w:t>
      </w:r>
      <w:r w:rsidR="00BD6D1E" w:rsidRPr="0035164E">
        <w:t xml:space="preserve"> </w:t>
      </w:r>
      <w:r w:rsidR="008D6E9F">
        <w:t xml:space="preserve">seeks to </w:t>
      </w:r>
      <w:r w:rsidRPr="0035164E">
        <w:t>help build strong, cohesive communities and economies, grow primary industries</w:t>
      </w:r>
      <w:r w:rsidR="00874449">
        <w:t xml:space="preserve"> and ensure</w:t>
      </w:r>
      <w:r w:rsidR="002E4BE3">
        <w:t xml:space="preserve"> sustainable land use practices</w:t>
      </w:r>
      <w:r w:rsidRPr="0035164E">
        <w:t xml:space="preserve">, create </w:t>
      </w:r>
      <w:r w:rsidR="00E13362">
        <w:t xml:space="preserve">regional </w:t>
      </w:r>
      <w:r w:rsidRPr="0035164E">
        <w:t>employment</w:t>
      </w:r>
      <w:r w:rsidR="00E13362">
        <w:t xml:space="preserve"> opportunities</w:t>
      </w:r>
      <w:r w:rsidRPr="0035164E">
        <w:t>, and steward the use of our natural endowments</w:t>
      </w:r>
      <w:r w:rsidR="00851347">
        <w:t xml:space="preserve"> including advancing sustainable mining and resource development</w:t>
      </w:r>
      <w:r w:rsidR="4F3A5766" w:rsidRPr="0035164E">
        <w:t>.</w:t>
      </w:r>
    </w:p>
    <w:p w14:paraId="6D80B91F" w14:textId="6017C77D" w:rsidR="00681876" w:rsidRPr="00E85659" w:rsidRDefault="00693D94" w:rsidP="008312DB">
      <w:pPr>
        <w:pStyle w:val="Heading3"/>
        <w:spacing w:before="240" w:after="100"/>
        <w:rPr>
          <w:rFonts w:ascii="Arial" w:hAnsi="Arial" w:cs="Arial"/>
        </w:rPr>
      </w:pPr>
      <w:bookmarkStart w:id="5" w:name="_Toc516321114"/>
      <w:bookmarkEnd w:id="3"/>
      <w:bookmarkEnd w:id="4"/>
      <w:r w:rsidRPr="00F8244B">
        <w:rPr>
          <w:rFonts w:ascii="Arial" w:hAnsi="Arial" w:cs="Arial"/>
        </w:rPr>
        <w:t xml:space="preserve">State Outcomes </w:t>
      </w:r>
      <w:r w:rsidR="008E1411" w:rsidRPr="00F8244B">
        <w:rPr>
          <w:rFonts w:ascii="Arial" w:hAnsi="Arial" w:cs="Arial"/>
        </w:rPr>
        <w:t xml:space="preserve">to be </w:t>
      </w:r>
      <w:r w:rsidRPr="00F8244B">
        <w:rPr>
          <w:rFonts w:ascii="Arial" w:hAnsi="Arial" w:cs="Arial"/>
        </w:rPr>
        <w:t xml:space="preserve">delivered by the </w:t>
      </w:r>
      <w:r w:rsidR="00EC7B4C">
        <w:rPr>
          <w:rFonts w:ascii="Arial" w:hAnsi="Arial" w:cs="Arial"/>
        </w:rPr>
        <w:t>Regional NSW</w:t>
      </w:r>
      <w:r w:rsidRPr="00F8244B">
        <w:rPr>
          <w:rFonts w:ascii="Arial" w:hAnsi="Arial" w:cs="Arial"/>
        </w:rPr>
        <w:t xml:space="preserve"> </w:t>
      </w:r>
      <w:r w:rsidR="00747987">
        <w:rPr>
          <w:rFonts w:ascii="Arial" w:hAnsi="Arial" w:cs="Arial"/>
        </w:rPr>
        <w:t>C</w:t>
      </w:r>
      <w:r w:rsidRPr="00F8244B">
        <w:rPr>
          <w:rFonts w:ascii="Arial" w:hAnsi="Arial" w:cs="Arial"/>
        </w:rPr>
        <w:t>luster</w:t>
      </w:r>
      <w:bookmarkEnd w:id="1"/>
      <w:bookmarkEnd w:id="5"/>
    </w:p>
    <w:tbl>
      <w:tblPr>
        <w:tblW w:w="9915" w:type="dxa"/>
        <w:tblLook w:val="04A0" w:firstRow="1" w:lastRow="0" w:firstColumn="1" w:lastColumn="0" w:noHBand="0" w:noVBand="1"/>
        <w:tblCaption w:val="State Outcomes to be delivered by the Regional NSW Cluster"/>
      </w:tblPr>
      <w:tblGrid>
        <w:gridCol w:w="5102"/>
        <w:gridCol w:w="278"/>
        <w:gridCol w:w="4535"/>
      </w:tblGrid>
      <w:tr w:rsidR="00C60B6D" w:rsidRPr="001E4463" w14:paraId="6F589B15" w14:textId="77777777" w:rsidTr="00AB0C5B">
        <w:trPr>
          <w:trHeight w:val="450"/>
          <w:tblHeader/>
        </w:trPr>
        <w:tc>
          <w:tcPr>
            <w:tcW w:w="5102" w:type="dxa"/>
            <w:vMerge w:val="restart"/>
            <w:tcBorders>
              <w:top w:val="nil"/>
              <w:left w:val="nil"/>
              <w:bottom w:val="nil"/>
              <w:right w:val="nil"/>
            </w:tcBorders>
            <w:shd w:val="clear" w:color="000000" w:fill="002664"/>
            <w:vAlign w:val="center"/>
            <w:hideMark/>
          </w:tcPr>
          <w:p w14:paraId="6BD65414" w14:textId="674A3ED7" w:rsidR="003E1B46" w:rsidRPr="001E4463" w:rsidRDefault="003E1B46" w:rsidP="002E7F2A">
            <w:pPr>
              <w:spacing w:after="0" w:line="240" w:lineRule="auto"/>
              <w:jc w:val="center"/>
              <w:rPr>
                <w:rFonts w:ascii="Arial" w:eastAsia="Times New Roman" w:hAnsi="Arial" w:cs="Arial"/>
                <w:b/>
                <w:bCs/>
                <w:color w:val="FFFFFF"/>
                <w:lang w:eastAsia="en-AU"/>
              </w:rPr>
            </w:pPr>
            <w:r w:rsidRPr="001E4463">
              <w:rPr>
                <w:rFonts w:ascii="Arial" w:eastAsia="Times New Roman" w:hAnsi="Arial" w:cs="Arial"/>
                <w:b/>
                <w:bCs/>
                <w:color w:val="FFFFFF"/>
                <w:lang w:eastAsia="en-AU"/>
              </w:rPr>
              <w:t>State Outcomes</w:t>
            </w:r>
            <w:r w:rsidRPr="001E4463">
              <w:rPr>
                <w:rFonts w:ascii="Arial" w:eastAsia="Times New Roman" w:hAnsi="Arial" w:cs="Arial"/>
                <w:b/>
                <w:bCs/>
                <w:color w:val="FFFFFF"/>
                <w:lang w:eastAsia="en-AU"/>
              </w:rPr>
              <w:br/>
            </w:r>
            <w:r w:rsidRPr="001E4463">
              <w:rPr>
                <w:rFonts w:ascii="Arial" w:eastAsia="Times New Roman" w:hAnsi="Arial" w:cs="Arial"/>
                <w:color w:val="FFFFFF"/>
                <w:lang w:eastAsia="en-AU"/>
              </w:rPr>
              <w:t xml:space="preserve">What the </w:t>
            </w:r>
            <w:r w:rsidR="00EB782F">
              <w:rPr>
                <w:rFonts w:ascii="Arial" w:eastAsia="Times New Roman" w:hAnsi="Arial" w:cs="Arial"/>
                <w:color w:val="FFFFFF"/>
                <w:lang w:eastAsia="en-AU"/>
              </w:rPr>
              <w:t>C</w:t>
            </w:r>
            <w:r w:rsidRPr="001E4463">
              <w:rPr>
                <w:rFonts w:ascii="Arial" w:eastAsia="Times New Roman" w:hAnsi="Arial" w:cs="Arial"/>
                <w:color w:val="FFFFFF"/>
                <w:lang w:eastAsia="en-AU"/>
              </w:rPr>
              <w:t>luster is delivering for people and business</w:t>
            </w:r>
          </w:p>
        </w:tc>
        <w:tc>
          <w:tcPr>
            <w:tcW w:w="278" w:type="dxa"/>
            <w:vMerge w:val="restart"/>
            <w:tcBorders>
              <w:top w:val="nil"/>
              <w:left w:val="nil"/>
              <w:bottom w:val="nil"/>
              <w:right w:val="nil"/>
            </w:tcBorders>
            <w:shd w:val="clear" w:color="000000" w:fill="FFFFFF"/>
            <w:vAlign w:val="center"/>
            <w:hideMark/>
          </w:tcPr>
          <w:p w14:paraId="18647A7B" w14:textId="77777777" w:rsidR="003E1B46" w:rsidRPr="001E4463" w:rsidRDefault="003E1B46" w:rsidP="002E7F2A">
            <w:pPr>
              <w:spacing w:after="0" w:line="240" w:lineRule="auto"/>
              <w:rPr>
                <w:rFonts w:ascii="Arial" w:eastAsia="Times New Roman" w:hAnsi="Arial" w:cs="Arial"/>
                <w:color w:val="FFFFFF"/>
                <w:lang w:eastAsia="en-AU"/>
              </w:rPr>
            </w:pPr>
            <w:r w:rsidRPr="001E4463">
              <w:rPr>
                <w:rFonts w:ascii="Arial" w:eastAsia="Times New Roman" w:hAnsi="Arial" w:cs="Arial"/>
                <w:color w:val="FFFFFF"/>
                <w:lang w:eastAsia="en-AU"/>
              </w:rPr>
              <w:t> </w:t>
            </w:r>
          </w:p>
        </w:tc>
        <w:tc>
          <w:tcPr>
            <w:tcW w:w="4535" w:type="dxa"/>
            <w:vMerge w:val="restart"/>
            <w:tcBorders>
              <w:top w:val="nil"/>
              <w:left w:val="nil"/>
              <w:bottom w:val="nil"/>
              <w:right w:val="nil"/>
            </w:tcBorders>
            <w:shd w:val="clear" w:color="000000" w:fill="002664"/>
            <w:vAlign w:val="center"/>
            <w:hideMark/>
          </w:tcPr>
          <w:p w14:paraId="61BB73DC" w14:textId="45BB34A6" w:rsidR="003E1B46" w:rsidRPr="001E4463" w:rsidRDefault="003E1B46" w:rsidP="002E7F2A">
            <w:pPr>
              <w:spacing w:after="0" w:line="240" w:lineRule="auto"/>
              <w:jc w:val="center"/>
              <w:rPr>
                <w:rFonts w:ascii="Arial" w:eastAsia="Times New Roman" w:hAnsi="Arial" w:cs="Arial"/>
                <w:b/>
                <w:bCs/>
                <w:color w:val="FFFFFF"/>
                <w:lang w:eastAsia="en-AU"/>
              </w:rPr>
            </w:pPr>
            <w:r w:rsidRPr="001E4463">
              <w:rPr>
                <w:rFonts w:ascii="Arial" w:eastAsia="Times New Roman" w:hAnsi="Arial" w:cs="Arial"/>
                <w:b/>
                <w:bCs/>
                <w:color w:val="FFFFFF"/>
                <w:lang w:eastAsia="en-AU"/>
              </w:rPr>
              <w:t>Example Programs</w:t>
            </w:r>
            <w:r w:rsidR="009743FA" w:rsidRPr="009743FA">
              <w:rPr>
                <w:rFonts w:ascii="Arial Bold" w:eastAsia="Times New Roman" w:hAnsi="Arial Bold" w:cs="Arial"/>
                <w:b/>
                <w:bCs/>
                <w:color w:val="FFFFFF"/>
                <w:vertAlign w:val="superscript"/>
                <w:lang w:eastAsia="en-AU"/>
              </w:rPr>
              <w:t>(a)</w:t>
            </w:r>
            <w:r w:rsidRPr="001E4463">
              <w:rPr>
                <w:rFonts w:ascii="Arial" w:eastAsia="Times New Roman" w:hAnsi="Arial" w:cs="Arial"/>
                <w:b/>
                <w:bCs/>
                <w:color w:val="FFFFFF"/>
                <w:lang w:eastAsia="en-AU"/>
              </w:rPr>
              <w:t xml:space="preserve">  </w:t>
            </w:r>
            <w:r w:rsidRPr="001E4463">
              <w:rPr>
                <w:rFonts w:ascii="Arial" w:eastAsia="Times New Roman" w:hAnsi="Arial" w:cs="Arial"/>
                <w:b/>
                <w:bCs/>
                <w:color w:val="FFFFFF"/>
                <w:lang w:eastAsia="en-AU"/>
              </w:rPr>
              <w:br/>
            </w:r>
            <w:r w:rsidRPr="001E4463">
              <w:rPr>
                <w:rFonts w:ascii="Arial" w:eastAsia="Times New Roman" w:hAnsi="Arial" w:cs="Arial"/>
                <w:color w:val="FFFFFF"/>
                <w:lang w:eastAsia="en-AU"/>
              </w:rPr>
              <w:t xml:space="preserve">underway to support delivery of </w:t>
            </w:r>
            <w:r w:rsidR="00EB782F">
              <w:rPr>
                <w:rFonts w:ascii="Arial" w:eastAsia="Times New Roman" w:hAnsi="Arial" w:cs="Arial"/>
                <w:color w:val="FFFFFF"/>
                <w:lang w:eastAsia="en-AU"/>
              </w:rPr>
              <w:t>O</w:t>
            </w:r>
            <w:r w:rsidRPr="001E4463">
              <w:rPr>
                <w:rFonts w:ascii="Arial" w:eastAsia="Times New Roman" w:hAnsi="Arial" w:cs="Arial"/>
                <w:color w:val="FFFFFF"/>
                <w:lang w:eastAsia="en-AU"/>
              </w:rPr>
              <w:t>utcomes</w:t>
            </w:r>
          </w:p>
        </w:tc>
      </w:tr>
      <w:tr w:rsidR="00C60B6D" w:rsidRPr="001E4463" w14:paraId="2ABFF93A" w14:textId="77777777" w:rsidTr="00AB0C5B">
        <w:trPr>
          <w:trHeight w:val="450"/>
          <w:tblHeader/>
        </w:trPr>
        <w:tc>
          <w:tcPr>
            <w:tcW w:w="5102" w:type="dxa"/>
            <w:vMerge/>
            <w:tcBorders>
              <w:top w:val="nil"/>
              <w:left w:val="nil"/>
              <w:bottom w:val="nil"/>
              <w:right w:val="nil"/>
            </w:tcBorders>
            <w:vAlign w:val="center"/>
            <w:hideMark/>
          </w:tcPr>
          <w:p w14:paraId="35425E81" w14:textId="77777777" w:rsidR="003E1B46" w:rsidRPr="001E4463" w:rsidRDefault="003E1B46" w:rsidP="002E7F2A">
            <w:pPr>
              <w:spacing w:after="0" w:line="240" w:lineRule="auto"/>
              <w:rPr>
                <w:rFonts w:ascii="Arial" w:eastAsia="Times New Roman" w:hAnsi="Arial" w:cs="Arial"/>
                <w:b/>
                <w:bCs/>
                <w:color w:val="FFFFFF"/>
                <w:lang w:eastAsia="en-AU"/>
              </w:rPr>
            </w:pPr>
          </w:p>
        </w:tc>
        <w:tc>
          <w:tcPr>
            <w:tcW w:w="278" w:type="dxa"/>
            <w:vMerge/>
            <w:tcBorders>
              <w:top w:val="nil"/>
              <w:left w:val="nil"/>
              <w:bottom w:val="nil"/>
              <w:right w:val="nil"/>
            </w:tcBorders>
            <w:vAlign w:val="center"/>
            <w:hideMark/>
          </w:tcPr>
          <w:p w14:paraId="4E3047AA" w14:textId="77777777" w:rsidR="003E1B46" w:rsidRPr="001E4463" w:rsidRDefault="003E1B46" w:rsidP="002E7F2A">
            <w:pPr>
              <w:spacing w:after="0" w:line="240" w:lineRule="auto"/>
              <w:rPr>
                <w:rFonts w:ascii="Arial" w:eastAsia="Times New Roman" w:hAnsi="Arial" w:cs="Arial"/>
                <w:color w:val="FFFFFF"/>
                <w:lang w:eastAsia="en-AU"/>
              </w:rPr>
            </w:pPr>
          </w:p>
        </w:tc>
        <w:tc>
          <w:tcPr>
            <w:tcW w:w="4535" w:type="dxa"/>
            <w:vMerge/>
            <w:tcBorders>
              <w:top w:val="nil"/>
              <w:left w:val="nil"/>
              <w:bottom w:val="nil"/>
              <w:right w:val="nil"/>
            </w:tcBorders>
            <w:vAlign w:val="center"/>
            <w:hideMark/>
          </w:tcPr>
          <w:p w14:paraId="2D3A2591" w14:textId="77777777" w:rsidR="003E1B46" w:rsidRPr="001E4463" w:rsidRDefault="003E1B46" w:rsidP="002E7F2A">
            <w:pPr>
              <w:spacing w:after="0" w:line="240" w:lineRule="auto"/>
              <w:rPr>
                <w:rFonts w:ascii="Arial" w:eastAsia="Times New Roman" w:hAnsi="Arial" w:cs="Arial"/>
                <w:b/>
                <w:bCs/>
                <w:color w:val="FFFFFF"/>
                <w:lang w:eastAsia="en-AU"/>
              </w:rPr>
            </w:pPr>
          </w:p>
        </w:tc>
      </w:tr>
      <w:tr w:rsidR="00C60B6D" w:rsidRPr="001E4463" w14:paraId="5CC6F2F2" w14:textId="77777777" w:rsidTr="00AB0C5B">
        <w:trPr>
          <w:trHeight w:val="108"/>
          <w:tblHeader/>
        </w:trPr>
        <w:tc>
          <w:tcPr>
            <w:tcW w:w="5102" w:type="dxa"/>
            <w:tcBorders>
              <w:top w:val="nil"/>
              <w:left w:val="nil"/>
              <w:bottom w:val="nil"/>
              <w:right w:val="nil"/>
            </w:tcBorders>
            <w:shd w:val="clear" w:color="000000" w:fill="FFFFFF"/>
            <w:vAlign w:val="center"/>
            <w:hideMark/>
          </w:tcPr>
          <w:p w14:paraId="21C8FFD6" w14:textId="77777777" w:rsidR="003E1B46" w:rsidRPr="001E4463" w:rsidRDefault="003E1B46" w:rsidP="002E7F2A">
            <w:pPr>
              <w:spacing w:after="0" w:line="240" w:lineRule="auto"/>
              <w:rPr>
                <w:rFonts w:ascii="Arial" w:eastAsia="Times New Roman" w:hAnsi="Arial" w:cs="Arial"/>
                <w:color w:val="000000"/>
                <w:sz w:val="4"/>
                <w:szCs w:val="4"/>
                <w:lang w:eastAsia="en-AU"/>
              </w:rPr>
            </w:pPr>
            <w:r w:rsidRPr="001E4463">
              <w:rPr>
                <w:rFonts w:ascii="Arial" w:eastAsia="Times New Roman" w:hAnsi="Arial" w:cs="Arial"/>
                <w:color w:val="000000"/>
                <w:sz w:val="4"/>
                <w:szCs w:val="4"/>
                <w:lang w:eastAsia="en-AU"/>
              </w:rPr>
              <w:t> </w:t>
            </w:r>
          </w:p>
        </w:tc>
        <w:tc>
          <w:tcPr>
            <w:tcW w:w="278" w:type="dxa"/>
            <w:tcBorders>
              <w:top w:val="nil"/>
              <w:left w:val="nil"/>
              <w:bottom w:val="nil"/>
              <w:right w:val="nil"/>
            </w:tcBorders>
            <w:shd w:val="clear" w:color="000000" w:fill="FFFFFF"/>
            <w:vAlign w:val="center"/>
            <w:hideMark/>
          </w:tcPr>
          <w:p w14:paraId="370B7F72" w14:textId="77777777" w:rsidR="003E1B46" w:rsidRPr="001E4463" w:rsidRDefault="003E1B46" w:rsidP="002E7F2A">
            <w:pPr>
              <w:spacing w:after="0" w:line="240" w:lineRule="auto"/>
              <w:rPr>
                <w:rFonts w:ascii="Arial" w:eastAsia="Times New Roman" w:hAnsi="Arial" w:cs="Arial"/>
                <w:sz w:val="4"/>
                <w:szCs w:val="4"/>
                <w:lang w:eastAsia="en-AU"/>
              </w:rPr>
            </w:pPr>
            <w:r w:rsidRPr="001E4463">
              <w:rPr>
                <w:rFonts w:ascii="Arial" w:eastAsia="Times New Roman" w:hAnsi="Arial" w:cs="Arial"/>
                <w:sz w:val="4"/>
                <w:szCs w:val="4"/>
                <w:lang w:eastAsia="en-AU"/>
              </w:rPr>
              <w:t> </w:t>
            </w:r>
          </w:p>
        </w:tc>
        <w:tc>
          <w:tcPr>
            <w:tcW w:w="4535" w:type="dxa"/>
            <w:tcBorders>
              <w:top w:val="nil"/>
              <w:left w:val="nil"/>
              <w:bottom w:val="nil"/>
              <w:right w:val="nil"/>
            </w:tcBorders>
            <w:shd w:val="clear" w:color="000000" w:fill="FFFFFF"/>
            <w:vAlign w:val="center"/>
            <w:hideMark/>
          </w:tcPr>
          <w:p w14:paraId="4F2515ED" w14:textId="77777777" w:rsidR="003E1B46" w:rsidRPr="001E4463" w:rsidRDefault="003E1B46" w:rsidP="002E7F2A">
            <w:pPr>
              <w:spacing w:after="0" w:line="240" w:lineRule="auto"/>
              <w:rPr>
                <w:rFonts w:ascii="Arial" w:eastAsia="Times New Roman" w:hAnsi="Arial" w:cs="Arial"/>
                <w:color w:val="FF0000"/>
                <w:sz w:val="4"/>
                <w:szCs w:val="4"/>
                <w:lang w:eastAsia="en-AU"/>
              </w:rPr>
            </w:pPr>
            <w:r w:rsidRPr="001E4463">
              <w:rPr>
                <w:rFonts w:ascii="Arial" w:eastAsia="Times New Roman" w:hAnsi="Arial" w:cs="Arial"/>
                <w:color w:val="FF0000"/>
                <w:sz w:val="4"/>
                <w:szCs w:val="4"/>
                <w:lang w:eastAsia="en-AU"/>
              </w:rPr>
              <w:t> </w:t>
            </w:r>
          </w:p>
        </w:tc>
      </w:tr>
      <w:tr w:rsidR="00C60B6D" w:rsidRPr="001E4463" w14:paraId="301FB4D8" w14:textId="77777777" w:rsidTr="00AB0C5B">
        <w:trPr>
          <w:trHeight w:val="2020"/>
        </w:trPr>
        <w:tc>
          <w:tcPr>
            <w:tcW w:w="5102" w:type="dxa"/>
            <w:tcBorders>
              <w:top w:val="nil"/>
              <w:left w:val="nil"/>
              <w:bottom w:val="nil"/>
              <w:right w:val="nil"/>
            </w:tcBorders>
            <w:shd w:val="clear" w:color="000000" w:fill="BAE4FC"/>
            <w:vAlign w:val="center"/>
            <w:hideMark/>
          </w:tcPr>
          <w:p w14:paraId="5763238D" w14:textId="77777777" w:rsidR="003E1B46" w:rsidRPr="001E4463" w:rsidRDefault="003E1B46" w:rsidP="003E7020">
            <w:pPr>
              <w:pStyle w:val="ListParagraph"/>
              <w:numPr>
                <w:ilvl w:val="0"/>
                <w:numId w:val="11"/>
              </w:numPr>
              <w:spacing w:before="8" w:after="80" w:line="240" w:lineRule="auto"/>
              <w:ind w:left="357" w:hanging="357"/>
              <w:contextualSpacing w:val="0"/>
              <w:rPr>
                <w:rFonts w:eastAsia="Times New Roman" w:cs="Arial"/>
                <w:b/>
                <w:bCs/>
                <w:szCs w:val="20"/>
                <w:lang w:eastAsia="en-AU"/>
              </w:rPr>
            </w:pPr>
            <w:r w:rsidRPr="00FF1157">
              <w:rPr>
                <w:rFonts w:eastAsia="Times New Roman" w:cs="Arial"/>
                <w:b/>
                <w:szCs w:val="20"/>
                <w:lang w:eastAsia="en-AU"/>
              </w:rPr>
              <w:t>Productive and sustainable land use</w:t>
            </w:r>
          </w:p>
          <w:p w14:paraId="7400D6B6" w14:textId="27FB1692" w:rsidR="003E1B46" w:rsidRDefault="003E1B46" w:rsidP="00D45E5C">
            <w:pPr>
              <w:spacing w:before="8" w:after="0" w:line="240" w:lineRule="auto"/>
              <w:rPr>
                <w:rFonts w:ascii="Arial" w:eastAsia="Times New Roman" w:hAnsi="Arial" w:cs="Arial"/>
                <w:szCs w:val="20"/>
                <w:lang w:eastAsia="en-AU"/>
              </w:rPr>
            </w:pPr>
            <w:r w:rsidRPr="001E4463">
              <w:rPr>
                <w:rFonts w:ascii="Arial" w:eastAsia="Times New Roman" w:hAnsi="Arial" w:cs="Arial"/>
                <w:szCs w:val="20"/>
                <w:lang w:eastAsia="en-AU"/>
              </w:rPr>
              <w:t>Enhancing the use of the State’s public and private lands, by supporting their sustainability, use and productivity. This is achieved by providing on-ground and frontline support to land managers to better manage natural resources, respond to biosecurity risks and improve primary production, productivity and output in the State.</w:t>
            </w:r>
          </w:p>
          <w:p w14:paraId="4D4F0BC8" w14:textId="77777777" w:rsidR="0054788C" w:rsidRPr="003E7020" w:rsidRDefault="0054788C" w:rsidP="005A485F">
            <w:pPr>
              <w:spacing w:after="0" w:line="240" w:lineRule="auto"/>
              <w:rPr>
                <w:rFonts w:ascii="Arial" w:eastAsia="Times New Roman" w:hAnsi="Arial" w:cs="Arial"/>
                <w:sz w:val="12"/>
                <w:szCs w:val="12"/>
                <w:lang w:eastAsia="en-AU"/>
              </w:rPr>
            </w:pPr>
          </w:p>
          <w:p w14:paraId="1157B8CF" w14:textId="4FC2B835" w:rsidR="003E1B46" w:rsidRPr="001E4463" w:rsidRDefault="008A5586" w:rsidP="005A485F">
            <w:pPr>
              <w:spacing w:line="240" w:lineRule="auto"/>
              <w:rPr>
                <w:rFonts w:ascii="Arial" w:eastAsia="Times New Roman" w:hAnsi="Arial" w:cs="Arial"/>
                <w:szCs w:val="20"/>
                <w:lang w:eastAsia="en-AU"/>
              </w:rPr>
            </w:pPr>
            <w:r w:rsidRPr="001B5B58">
              <w:rPr>
                <w:rFonts w:ascii="Arial" w:hAnsi="Arial" w:cs="Arial"/>
                <w:i/>
                <w:iCs/>
                <w:szCs w:val="20"/>
              </w:rPr>
              <w:t>2020-21 investment: $</w:t>
            </w:r>
            <w:r w:rsidR="002B6379">
              <w:rPr>
                <w:rFonts w:ascii="Arial" w:hAnsi="Arial" w:cs="Arial"/>
                <w:i/>
                <w:iCs/>
                <w:szCs w:val="20"/>
              </w:rPr>
              <w:t>376.4</w:t>
            </w:r>
            <w:r w:rsidRPr="001B5B58">
              <w:rPr>
                <w:rFonts w:ascii="Arial" w:hAnsi="Arial" w:cs="Arial"/>
                <w:i/>
                <w:iCs/>
                <w:szCs w:val="20"/>
              </w:rPr>
              <w:t xml:space="preserve"> million recurrent expenses &amp; $</w:t>
            </w:r>
            <w:r w:rsidR="002B6379">
              <w:rPr>
                <w:rFonts w:ascii="Arial" w:hAnsi="Arial" w:cs="Arial"/>
                <w:i/>
                <w:iCs/>
                <w:szCs w:val="20"/>
              </w:rPr>
              <w:t>16</w:t>
            </w:r>
            <w:r w:rsidR="00C31D87">
              <w:rPr>
                <w:rFonts w:ascii="Arial" w:hAnsi="Arial" w:cs="Arial"/>
                <w:i/>
                <w:iCs/>
                <w:szCs w:val="20"/>
              </w:rPr>
              <w:t>.0</w:t>
            </w:r>
            <w:r w:rsidRPr="001B5B58">
              <w:rPr>
                <w:rFonts w:ascii="Arial" w:hAnsi="Arial" w:cs="Arial"/>
                <w:i/>
                <w:iCs/>
                <w:szCs w:val="20"/>
              </w:rPr>
              <w:t xml:space="preserve"> million capital expenditure</w:t>
            </w:r>
          </w:p>
        </w:tc>
        <w:tc>
          <w:tcPr>
            <w:tcW w:w="278" w:type="dxa"/>
            <w:tcBorders>
              <w:top w:val="nil"/>
              <w:left w:val="nil"/>
              <w:bottom w:val="nil"/>
              <w:right w:val="nil"/>
            </w:tcBorders>
            <w:shd w:val="clear" w:color="000000" w:fill="FFFFFF"/>
            <w:vAlign w:val="center"/>
            <w:hideMark/>
          </w:tcPr>
          <w:p w14:paraId="6D5995D8" w14:textId="77777777" w:rsidR="003E1B46" w:rsidRPr="001E4463" w:rsidRDefault="003E1B46" w:rsidP="002E7F2A">
            <w:pPr>
              <w:spacing w:after="0" w:line="240" w:lineRule="auto"/>
              <w:rPr>
                <w:rFonts w:ascii="Arial" w:eastAsia="Times New Roman" w:hAnsi="Arial" w:cs="Arial"/>
                <w:color w:val="A6A6A6"/>
                <w:szCs w:val="20"/>
                <w:lang w:eastAsia="en-AU"/>
              </w:rPr>
            </w:pPr>
            <w:r w:rsidRPr="001E4463">
              <w:rPr>
                <w:rFonts w:ascii="Arial" w:eastAsia="Times New Roman" w:hAnsi="Arial" w:cs="Arial"/>
                <w:color w:val="A6A6A6"/>
                <w:szCs w:val="20"/>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66599" w14:textId="77777777" w:rsidR="003E1B46" w:rsidRPr="001E4463" w:rsidRDefault="003E1B46" w:rsidP="00E7560B">
            <w:pPr>
              <w:numPr>
                <w:ilvl w:val="0"/>
                <w:numId w:val="9"/>
              </w:numPr>
              <w:spacing w:after="0" w:line="240" w:lineRule="auto"/>
              <w:contextualSpacing/>
              <w:rPr>
                <w:rFonts w:ascii="Arial" w:eastAsia="Times New Roman" w:hAnsi="Arial" w:cs="Arial"/>
                <w:szCs w:val="20"/>
                <w:lang w:eastAsia="en-AU"/>
              </w:rPr>
            </w:pPr>
            <w:r w:rsidRPr="001E4463">
              <w:rPr>
                <w:rFonts w:ascii="Arial" w:eastAsia="Times New Roman" w:hAnsi="Arial" w:cs="Arial"/>
                <w:szCs w:val="20"/>
                <w:lang w:eastAsia="en-AU"/>
              </w:rPr>
              <w:t>Protect the economy, environment and community, including from biosecurity risks</w:t>
            </w:r>
          </w:p>
          <w:p w14:paraId="5C04683C" w14:textId="77777777" w:rsidR="003E1B46" w:rsidRPr="001E4463" w:rsidRDefault="003E1B46" w:rsidP="00E7560B">
            <w:pPr>
              <w:numPr>
                <w:ilvl w:val="0"/>
                <w:numId w:val="9"/>
              </w:numPr>
              <w:spacing w:after="0" w:line="240" w:lineRule="auto"/>
              <w:contextualSpacing/>
              <w:rPr>
                <w:rFonts w:ascii="Arial" w:eastAsia="Times New Roman" w:hAnsi="Arial" w:cs="Arial"/>
                <w:szCs w:val="20"/>
                <w:lang w:eastAsia="en-AU"/>
              </w:rPr>
            </w:pPr>
            <w:r w:rsidRPr="001E4463">
              <w:rPr>
                <w:rFonts w:ascii="Arial" w:eastAsia="Times New Roman" w:hAnsi="Arial" w:cs="Arial"/>
                <w:szCs w:val="20"/>
                <w:lang w:eastAsia="en-AU"/>
              </w:rPr>
              <w:t>Enabling land managers to better manage our natural resources</w:t>
            </w:r>
          </w:p>
        </w:tc>
      </w:tr>
      <w:tr w:rsidR="00C60B6D" w:rsidRPr="00AD79B7" w14:paraId="050E4D34" w14:textId="77777777" w:rsidTr="00AB0C5B">
        <w:trPr>
          <w:trHeight w:val="108"/>
        </w:trPr>
        <w:tc>
          <w:tcPr>
            <w:tcW w:w="5102" w:type="dxa"/>
            <w:tcBorders>
              <w:top w:val="nil"/>
              <w:left w:val="nil"/>
              <w:bottom w:val="nil"/>
              <w:right w:val="nil"/>
            </w:tcBorders>
            <w:shd w:val="clear" w:color="000000" w:fill="FFFFFF"/>
            <w:vAlign w:val="center"/>
            <w:hideMark/>
          </w:tcPr>
          <w:p w14:paraId="4B697D49" w14:textId="77777777" w:rsidR="003E1B46" w:rsidRPr="00AD79B7" w:rsidRDefault="003E1B46" w:rsidP="005A485F">
            <w:pPr>
              <w:spacing w:after="0" w:line="240" w:lineRule="auto"/>
              <w:rPr>
                <w:rFonts w:ascii="Arial" w:eastAsia="Times New Roman" w:hAnsi="Arial" w:cs="Arial"/>
                <w:color w:val="A6A6A6"/>
                <w:sz w:val="4"/>
                <w:szCs w:val="4"/>
                <w:lang w:eastAsia="en-AU"/>
              </w:rPr>
            </w:pPr>
            <w:r w:rsidRPr="00AD79B7">
              <w:rPr>
                <w:rFonts w:ascii="Arial" w:eastAsia="Times New Roman" w:hAnsi="Arial" w:cs="Arial"/>
                <w:color w:val="A6A6A6"/>
                <w:sz w:val="4"/>
                <w:szCs w:val="4"/>
                <w:lang w:eastAsia="en-AU"/>
              </w:rPr>
              <w:t> </w:t>
            </w:r>
          </w:p>
        </w:tc>
        <w:tc>
          <w:tcPr>
            <w:tcW w:w="278" w:type="dxa"/>
            <w:tcBorders>
              <w:top w:val="nil"/>
              <w:left w:val="nil"/>
              <w:bottom w:val="nil"/>
              <w:right w:val="nil"/>
            </w:tcBorders>
            <w:shd w:val="clear" w:color="000000" w:fill="FFFFFF"/>
            <w:vAlign w:val="center"/>
            <w:hideMark/>
          </w:tcPr>
          <w:p w14:paraId="28F849EA" w14:textId="77777777" w:rsidR="003E1B46" w:rsidRPr="00AD79B7" w:rsidRDefault="003E1B46" w:rsidP="002E7F2A">
            <w:pPr>
              <w:spacing w:after="0" w:line="240" w:lineRule="auto"/>
              <w:rPr>
                <w:rFonts w:ascii="Arial" w:eastAsia="Times New Roman" w:hAnsi="Arial" w:cs="Arial"/>
                <w:color w:val="A6A6A6"/>
                <w:sz w:val="4"/>
                <w:szCs w:val="4"/>
                <w:lang w:eastAsia="en-AU"/>
              </w:rPr>
            </w:pPr>
            <w:r w:rsidRPr="00AD79B7">
              <w:rPr>
                <w:rFonts w:ascii="Arial" w:eastAsia="Times New Roman" w:hAnsi="Arial" w:cs="Arial"/>
                <w:color w:val="A6A6A6"/>
                <w:sz w:val="4"/>
                <w:szCs w:val="4"/>
                <w:lang w:eastAsia="en-AU"/>
              </w:rPr>
              <w:t> </w:t>
            </w:r>
          </w:p>
        </w:tc>
        <w:tc>
          <w:tcPr>
            <w:tcW w:w="4535" w:type="dxa"/>
            <w:tcBorders>
              <w:top w:val="nil"/>
              <w:left w:val="nil"/>
              <w:bottom w:val="nil"/>
              <w:right w:val="nil"/>
            </w:tcBorders>
            <w:shd w:val="clear" w:color="000000" w:fill="FFFFFF"/>
            <w:vAlign w:val="center"/>
            <w:hideMark/>
          </w:tcPr>
          <w:p w14:paraId="58385B2A" w14:textId="77777777" w:rsidR="003E1B46" w:rsidRPr="00AD79B7" w:rsidRDefault="003E1B46" w:rsidP="002E7F2A">
            <w:pPr>
              <w:spacing w:after="0" w:line="240" w:lineRule="auto"/>
              <w:rPr>
                <w:rFonts w:ascii="Arial" w:eastAsia="Times New Roman" w:hAnsi="Arial" w:cs="Arial"/>
                <w:color w:val="A6A6A6"/>
                <w:sz w:val="4"/>
                <w:szCs w:val="4"/>
                <w:lang w:eastAsia="en-AU"/>
              </w:rPr>
            </w:pPr>
            <w:r w:rsidRPr="00AD79B7">
              <w:rPr>
                <w:rFonts w:ascii="Arial" w:eastAsia="Times New Roman" w:hAnsi="Arial" w:cs="Arial"/>
                <w:color w:val="A6A6A6"/>
                <w:sz w:val="4"/>
                <w:szCs w:val="4"/>
                <w:lang w:eastAsia="en-AU"/>
              </w:rPr>
              <w:t> </w:t>
            </w:r>
          </w:p>
        </w:tc>
      </w:tr>
      <w:tr w:rsidR="00C60B6D" w:rsidRPr="001E4463" w14:paraId="2FF82C31" w14:textId="77777777" w:rsidTr="00AB0C5B">
        <w:trPr>
          <w:trHeight w:val="850"/>
        </w:trPr>
        <w:tc>
          <w:tcPr>
            <w:tcW w:w="5102" w:type="dxa"/>
            <w:tcBorders>
              <w:top w:val="nil"/>
              <w:left w:val="nil"/>
              <w:bottom w:val="nil"/>
              <w:right w:val="nil"/>
            </w:tcBorders>
            <w:shd w:val="clear" w:color="000000" w:fill="EBF7FE"/>
            <w:vAlign w:val="center"/>
            <w:hideMark/>
          </w:tcPr>
          <w:p w14:paraId="10B4696F" w14:textId="77777777" w:rsidR="003E1B46" w:rsidRPr="001E4463" w:rsidRDefault="003E1B46" w:rsidP="003E7020">
            <w:pPr>
              <w:pStyle w:val="ListParagraph"/>
              <w:numPr>
                <w:ilvl w:val="0"/>
                <w:numId w:val="11"/>
              </w:numPr>
              <w:spacing w:before="8" w:after="80" w:line="240" w:lineRule="auto"/>
              <w:ind w:left="357" w:hanging="357"/>
              <w:contextualSpacing w:val="0"/>
              <w:rPr>
                <w:rFonts w:eastAsia="Times New Roman" w:cs="Arial"/>
                <w:b/>
                <w:bCs/>
                <w:szCs w:val="20"/>
                <w:lang w:eastAsia="en-AU"/>
              </w:rPr>
            </w:pPr>
            <w:r w:rsidRPr="00667DA3">
              <w:rPr>
                <w:rFonts w:eastAsia="Times New Roman" w:cs="Arial"/>
                <w:b/>
                <w:szCs w:val="20"/>
                <w:lang w:eastAsia="en-AU"/>
              </w:rPr>
              <w:t>Stronger primary industries</w:t>
            </w:r>
          </w:p>
          <w:p w14:paraId="65B5C64A" w14:textId="129B5DB5" w:rsidR="003E1B46" w:rsidRDefault="003E1B46" w:rsidP="00D45E5C">
            <w:pPr>
              <w:spacing w:before="8" w:after="0" w:line="240" w:lineRule="auto"/>
              <w:rPr>
                <w:rFonts w:ascii="Arial" w:eastAsia="Times New Roman" w:hAnsi="Arial" w:cs="Arial"/>
                <w:szCs w:val="20"/>
                <w:lang w:eastAsia="en-AU"/>
              </w:rPr>
            </w:pPr>
            <w:r w:rsidRPr="001E4463">
              <w:rPr>
                <w:rFonts w:ascii="Arial" w:eastAsia="Times New Roman" w:hAnsi="Arial" w:cs="Arial"/>
                <w:szCs w:val="20"/>
                <w:lang w:eastAsia="en-AU"/>
              </w:rPr>
              <w:t>Focusing on primary industries’ productivity, growth and ensuring the sector’s sustainability for the benefit of all citizens. Our commitment to innovation, safe and secure food supply and industry support and development programs</w:t>
            </w:r>
            <w:r>
              <w:rPr>
                <w:rFonts w:ascii="Arial" w:eastAsia="Times New Roman" w:hAnsi="Arial" w:cs="Arial"/>
                <w:szCs w:val="20"/>
                <w:lang w:eastAsia="en-AU"/>
              </w:rPr>
              <w:t>, delivered via an on</w:t>
            </w:r>
            <w:r w:rsidR="00326F31">
              <w:rPr>
                <w:rFonts w:ascii="Arial" w:eastAsia="Times New Roman" w:hAnsi="Arial" w:cs="Arial"/>
                <w:szCs w:val="20"/>
                <w:lang w:eastAsia="en-AU"/>
              </w:rPr>
              <w:t>-</w:t>
            </w:r>
            <w:r>
              <w:rPr>
                <w:rFonts w:ascii="Arial" w:eastAsia="Times New Roman" w:hAnsi="Arial" w:cs="Arial"/>
                <w:szCs w:val="20"/>
                <w:lang w:eastAsia="en-AU"/>
              </w:rPr>
              <w:t>ground presence across the State, ensures food security and economic growth for the State</w:t>
            </w:r>
            <w:r w:rsidRPr="001E4463">
              <w:rPr>
                <w:rFonts w:ascii="Arial" w:eastAsia="Times New Roman" w:hAnsi="Arial" w:cs="Arial"/>
                <w:szCs w:val="20"/>
                <w:lang w:eastAsia="en-AU"/>
              </w:rPr>
              <w:t>.</w:t>
            </w:r>
          </w:p>
          <w:p w14:paraId="4E7A362A" w14:textId="77777777" w:rsidR="008A5586" w:rsidRPr="003E7020" w:rsidRDefault="008A5586" w:rsidP="005A485F">
            <w:pPr>
              <w:spacing w:after="0" w:line="240" w:lineRule="auto"/>
              <w:rPr>
                <w:rFonts w:ascii="Arial" w:eastAsia="Times New Roman" w:hAnsi="Arial" w:cs="Arial"/>
                <w:sz w:val="12"/>
                <w:szCs w:val="12"/>
                <w:lang w:eastAsia="en-AU"/>
              </w:rPr>
            </w:pPr>
          </w:p>
          <w:p w14:paraId="743D7ADF" w14:textId="163009B7" w:rsidR="003E1B46" w:rsidRPr="001E4463" w:rsidRDefault="008A5586" w:rsidP="005A485F">
            <w:pPr>
              <w:spacing w:line="240" w:lineRule="auto"/>
              <w:rPr>
                <w:rFonts w:ascii="Arial" w:eastAsia="Times New Roman" w:hAnsi="Arial" w:cs="Arial"/>
                <w:szCs w:val="20"/>
                <w:lang w:eastAsia="en-AU"/>
              </w:rPr>
            </w:pPr>
            <w:r w:rsidRPr="001B5B58">
              <w:rPr>
                <w:rFonts w:ascii="Arial" w:hAnsi="Arial" w:cs="Arial"/>
                <w:i/>
                <w:iCs/>
                <w:szCs w:val="20"/>
              </w:rPr>
              <w:t>2020-21 investment: $</w:t>
            </w:r>
            <w:r w:rsidR="00E858B1">
              <w:rPr>
                <w:rFonts w:ascii="Arial" w:hAnsi="Arial" w:cs="Arial"/>
                <w:i/>
                <w:iCs/>
                <w:szCs w:val="20"/>
              </w:rPr>
              <w:t>596.5</w:t>
            </w:r>
            <w:r w:rsidRPr="001B5B58">
              <w:rPr>
                <w:rFonts w:ascii="Arial" w:hAnsi="Arial" w:cs="Arial"/>
                <w:i/>
                <w:iCs/>
                <w:szCs w:val="20"/>
              </w:rPr>
              <w:t xml:space="preserve"> </w:t>
            </w:r>
            <w:r w:rsidR="00E858B1">
              <w:rPr>
                <w:rFonts w:ascii="Arial" w:hAnsi="Arial" w:cs="Arial"/>
                <w:i/>
                <w:iCs/>
                <w:szCs w:val="20"/>
              </w:rPr>
              <w:t>m</w:t>
            </w:r>
            <w:r w:rsidRPr="001B5B58">
              <w:rPr>
                <w:rFonts w:ascii="Arial" w:hAnsi="Arial" w:cs="Arial"/>
                <w:i/>
                <w:iCs/>
                <w:szCs w:val="20"/>
              </w:rPr>
              <w:t>illion recurrent expenses &amp; $</w:t>
            </w:r>
            <w:r w:rsidR="00CA5329">
              <w:rPr>
                <w:rFonts w:ascii="Arial" w:hAnsi="Arial" w:cs="Arial"/>
                <w:i/>
                <w:iCs/>
                <w:szCs w:val="20"/>
              </w:rPr>
              <w:t>62.2</w:t>
            </w:r>
            <w:r w:rsidRPr="001B5B58">
              <w:rPr>
                <w:rFonts w:ascii="Arial" w:hAnsi="Arial" w:cs="Arial"/>
                <w:i/>
                <w:iCs/>
                <w:szCs w:val="20"/>
              </w:rPr>
              <w:t xml:space="preserve"> million capital expenditure</w:t>
            </w:r>
          </w:p>
        </w:tc>
        <w:tc>
          <w:tcPr>
            <w:tcW w:w="278" w:type="dxa"/>
            <w:tcBorders>
              <w:top w:val="nil"/>
              <w:left w:val="nil"/>
              <w:bottom w:val="nil"/>
              <w:right w:val="nil"/>
            </w:tcBorders>
            <w:shd w:val="clear" w:color="000000" w:fill="FFFFFF"/>
            <w:vAlign w:val="center"/>
            <w:hideMark/>
          </w:tcPr>
          <w:p w14:paraId="759FBC03" w14:textId="77777777" w:rsidR="003E1B46" w:rsidRPr="001E4463" w:rsidRDefault="003E1B46" w:rsidP="002E7F2A">
            <w:pPr>
              <w:spacing w:after="0" w:line="240" w:lineRule="auto"/>
              <w:rPr>
                <w:rFonts w:ascii="Arial" w:eastAsia="Times New Roman" w:hAnsi="Arial" w:cs="Arial"/>
                <w:color w:val="A6A6A6"/>
                <w:szCs w:val="20"/>
                <w:lang w:eastAsia="en-AU"/>
              </w:rPr>
            </w:pPr>
            <w:r w:rsidRPr="001E4463">
              <w:rPr>
                <w:rFonts w:ascii="Arial" w:eastAsia="Times New Roman" w:hAnsi="Arial" w:cs="Arial"/>
                <w:color w:val="A6A6A6"/>
                <w:szCs w:val="20"/>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FCBACD" w14:textId="77777777" w:rsidR="003E1B46" w:rsidRPr="001E4463" w:rsidRDefault="003E1B46" w:rsidP="00E7560B">
            <w:pPr>
              <w:numPr>
                <w:ilvl w:val="0"/>
                <w:numId w:val="9"/>
              </w:numPr>
              <w:spacing w:after="0" w:line="240" w:lineRule="auto"/>
              <w:contextualSpacing/>
              <w:rPr>
                <w:rFonts w:ascii="Arial" w:eastAsia="Times New Roman" w:hAnsi="Arial" w:cs="Arial"/>
                <w:szCs w:val="20"/>
                <w:lang w:eastAsia="en-AU"/>
              </w:rPr>
            </w:pPr>
            <w:r w:rsidRPr="001E4463">
              <w:rPr>
                <w:rFonts w:ascii="Arial" w:eastAsia="Times New Roman" w:hAnsi="Arial" w:cs="Arial"/>
                <w:szCs w:val="20"/>
                <w:lang w:eastAsia="en-AU"/>
              </w:rPr>
              <w:t xml:space="preserve">Enhance productivity of plant, livestock and the sustainable use of agricultural resources </w:t>
            </w:r>
          </w:p>
          <w:p w14:paraId="7996F9C0" w14:textId="77777777" w:rsidR="003E1B46" w:rsidRPr="001E4463" w:rsidRDefault="003E1B46" w:rsidP="00E7560B">
            <w:pPr>
              <w:numPr>
                <w:ilvl w:val="0"/>
                <w:numId w:val="9"/>
              </w:numPr>
              <w:spacing w:after="0" w:line="240" w:lineRule="auto"/>
              <w:contextualSpacing/>
              <w:rPr>
                <w:rFonts w:ascii="Arial" w:eastAsia="Times New Roman" w:hAnsi="Arial" w:cs="Arial"/>
                <w:szCs w:val="20"/>
                <w:lang w:eastAsia="en-AU"/>
              </w:rPr>
            </w:pPr>
            <w:r w:rsidRPr="001E4463">
              <w:rPr>
                <w:rFonts w:ascii="Arial" w:eastAsia="Times New Roman" w:hAnsi="Arial" w:cs="Arial"/>
                <w:szCs w:val="20"/>
                <w:lang w:eastAsia="en-AU"/>
              </w:rPr>
              <w:t>Sustainable growth of fishing and aquaculture and protecting aquatic resources</w:t>
            </w:r>
          </w:p>
        </w:tc>
      </w:tr>
      <w:tr w:rsidR="00C60B6D" w:rsidRPr="00AD79B7" w14:paraId="4F07809D" w14:textId="77777777" w:rsidTr="00EA5F71">
        <w:trPr>
          <w:trHeight w:val="105"/>
        </w:trPr>
        <w:tc>
          <w:tcPr>
            <w:tcW w:w="5102" w:type="dxa"/>
            <w:tcBorders>
              <w:top w:val="nil"/>
              <w:left w:val="nil"/>
              <w:bottom w:val="nil"/>
              <w:right w:val="nil"/>
            </w:tcBorders>
            <w:shd w:val="clear" w:color="000000" w:fill="FFFFFF"/>
            <w:vAlign w:val="center"/>
            <w:hideMark/>
          </w:tcPr>
          <w:p w14:paraId="5EC42DF0" w14:textId="77777777" w:rsidR="003E1B46" w:rsidRPr="00AD79B7" w:rsidRDefault="003E1B46" w:rsidP="005A485F">
            <w:pPr>
              <w:spacing w:after="0" w:line="240" w:lineRule="auto"/>
              <w:rPr>
                <w:rFonts w:ascii="Arial" w:eastAsia="Times New Roman" w:hAnsi="Arial" w:cs="Arial"/>
                <w:color w:val="A6A6A6"/>
                <w:sz w:val="4"/>
                <w:szCs w:val="4"/>
                <w:lang w:eastAsia="en-AU"/>
              </w:rPr>
            </w:pPr>
            <w:r w:rsidRPr="00AD79B7">
              <w:rPr>
                <w:rFonts w:ascii="Arial" w:eastAsia="Times New Roman" w:hAnsi="Arial" w:cs="Arial"/>
                <w:color w:val="A6A6A6"/>
                <w:sz w:val="4"/>
                <w:szCs w:val="4"/>
                <w:lang w:eastAsia="en-AU"/>
              </w:rPr>
              <w:t> </w:t>
            </w:r>
          </w:p>
        </w:tc>
        <w:tc>
          <w:tcPr>
            <w:tcW w:w="278" w:type="dxa"/>
            <w:tcBorders>
              <w:top w:val="nil"/>
              <w:left w:val="nil"/>
              <w:bottom w:val="nil"/>
              <w:right w:val="nil"/>
            </w:tcBorders>
            <w:shd w:val="clear" w:color="000000" w:fill="FFFFFF"/>
            <w:vAlign w:val="center"/>
            <w:hideMark/>
          </w:tcPr>
          <w:p w14:paraId="27233DBC" w14:textId="77777777" w:rsidR="003E1B46" w:rsidRPr="00AD79B7" w:rsidRDefault="003E1B46" w:rsidP="002E7F2A">
            <w:pPr>
              <w:spacing w:after="0" w:line="240" w:lineRule="auto"/>
              <w:rPr>
                <w:rFonts w:ascii="Arial" w:eastAsia="Times New Roman" w:hAnsi="Arial" w:cs="Arial"/>
                <w:color w:val="A6A6A6"/>
                <w:sz w:val="4"/>
                <w:szCs w:val="4"/>
                <w:lang w:eastAsia="en-AU"/>
              </w:rPr>
            </w:pPr>
            <w:r w:rsidRPr="00AD79B7">
              <w:rPr>
                <w:rFonts w:ascii="Arial" w:eastAsia="Times New Roman" w:hAnsi="Arial" w:cs="Arial"/>
                <w:color w:val="A6A6A6"/>
                <w:sz w:val="4"/>
                <w:szCs w:val="4"/>
                <w:lang w:eastAsia="en-AU"/>
              </w:rPr>
              <w:t> </w:t>
            </w:r>
          </w:p>
        </w:tc>
        <w:tc>
          <w:tcPr>
            <w:tcW w:w="4535" w:type="dxa"/>
            <w:tcBorders>
              <w:top w:val="nil"/>
              <w:left w:val="nil"/>
              <w:bottom w:val="single" w:sz="4" w:space="0" w:color="auto"/>
              <w:right w:val="nil"/>
            </w:tcBorders>
            <w:shd w:val="clear" w:color="000000" w:fill="FFFFFF"/>
            <w:vAlign w:val="center"/>
            <w:hideMark/>
          </w:tcPr>
          <w:p w14:paraId="0E041E35" w14:textId="77777777" w:rsidR="003E1B46" w:rsidRPr="00AD79B7" w:rsidRDefault="003E1B46" w:rsidP="002E7F2A">
            <w:pPr>
              <w:spacing w:after="0" w:line="240" w:lineRule="auto"/>
              <w:rPr>
                <w:rFonts w:ascii="Arial" w:eastAsia="Times New Roman" w:hAnsi="Arial" w:cs="Arial"/>
                <w:color w:val="A6A6A6"/>
                <w:sz w:val="4"/>
                <w:szCs w:val="4"/>
                <w:lang w:eastAsia="en-AU"/>
              </w:rPr>
            </w:pPr>
            <w:r w:rsidRPr="00AD79B7">
              <w:rPr>
                <w:rFonts w:ascii="Arial" w:eastAsia="Times New Roman" w:hAnsi="Arial" w:cs="Arial"/>
                <w:color w:val="A6A6A6"/>
                <w:sz w:val="4"/>
                <w:szCs w:val="4"/>
                <w:lang w:eastAsia="en-AU"/>
              </w:rPr>
              <w:t> </w:t>
            </w:r>
          </w:p>
        </w:tc>
      </w:tr>
      <w:tr w:rsidR="00C60B6D" w:rsidRPr="001E4463" w14:paraId="79D6CE48" w14:textId="77777777" w:rsidTr="00EA5F71">
        <w:trPr>
          <w:trHeight w:val="73"/>
        </w:trPr>
        <w:tc>
          <w:tcPr>
            <w:tcW w:w="5102" w:type="dxa"/>
            <w:tcBorders>
              <w:top w:val="nil"/>
              <w:left w:val="nil"/>
              <w:right w:val="nil"/>
            </w:tcBorders>
            <w:shd w:val="clear" w:color="000000" w:fill="BAE4FC"/>
            <w:vAlign w:val="center"/>
            <w:hideMark/>
          </w:tcPr>
          <w:p w14:paraId="6DDDEB10" w14:textId="77777777" w:rsidR="003E1B46" w:rsidRPr="001E4463" w:rsidRDefault="003E1B46" w:rsidP="003E7020">
            <w:pPr>
              <w:pStyle w:val="ListParagraph"/>
              <w:numPr>
                <w:ilvl w:val="0"/>
                <w:numId w:val="11"/>
              </w:numPr>
              <w:spacing w:before="8" w:after="80" w:line="240" w:lineRule="auto"/>
              <w:ind w:left="357" w:hanging="357"/>
              <w:contextualSpacing w:val="0"/>
              <w:rPr>
                <w:rFonts w:eastAsia="Times New Roman" w:cs="Arial"/>
                <w:b/>
                <w:bCs/>
                <w:szCs w:val="20"/>
                <w:lang w:eastAsia="en-AU"/>
              </w:rPr>
            </w:pPr>
            <w:r w:rsidRPr="00667DA3">
              <w:rPr>
                <w:rFonts w:eastAsia="Times New Roman" w:cs="Arial"/>
                <w:b/>
                <w:szCs w:val="20"/>
                <w:lang w:eastAsia="en-AU"/>
              </w:rPr>
              <w:t xml:space="preserve">Mineral and petroleum </w:t>
            </w:r>
            <w:r w:rsidRPr="001E4463">
              <w:rPr>
                <w:rFonts w:eastAsia="Times New Roman" w:cs="Arial"/>
                <w:b/>
                <w:bCs/>
                <w:szCs w:val="20"/>
                <w:lang w:eastAsia="en-AU"/>
              </w:rPr>
              <w:t>industries generating prosperity, safely</w:t>
            </w:r>
          </w:p>
          <w:p w14:paraId="758FB175" w14:textId="565C4E22" w:rsidR="00763959" w:rsidRPr="00763959" w:rsidRDefault="003E1B46" w:rsidP="005A485F">
            <w:pPr>
              <w:spacing w:after="0" w:line="240" w:lineRule="auto"/>
              <w:rPr>
                <w:rFonts w:ascii="Arial" w:eastAsia="Times New Roman" w:hAnsi="Arial" w:cs="Arial"/>
                <w:szCs w:val="20"/>
                <w:lang w:eastAsia="en-AU"/>
              </w:rPr>
            </w:pPr>
            <w:r w:rsidRPr="001E4463">
              <w:rPr>
                <w:rFonts w:ascii="Arial" w:eastAsia="Times New Roman" w:hAnsi="Arial" w:cs="Arial"/>
                <w:szCs w:val="20"/>
                <w:lang w:eastAsia="en-AU"/>
              </w:rPr>
              <w:t>Supporting and growing responsible mining and exploration across regional New South Wales. This is critical for regional employment, export earnings and royalties. Our mission is to make the State the number one destination for mining investment, whilst ensuring safety and environmental outcomes.</w:t>
            </w:r>
          </w:p>
          <w:p w14:paraId="261AF02B" w14:textId="77777777" w:rsidR="00BC0DDC" w:rsidRPr="003E7020" w:rsidRDefault="00BC0DDC" w:rsidP="005A485F">
            <w:pPr>
              <w:spacing w:after="0" w:line="240" w:lineRule="auto"/>
              <w:rPr>
                <w:rFonts w:ascii="Arial" w:eastAsia="Times New Roman" w:hAnsi="Arial" w:cs="Arial"/>
                <w:sz w:val="12"/>
                <w:szCs w:val="12"/>
                <w:lang w:eastAsia="en-AU"/>
              </w:rPr>
            </w:pPr>
          </w:p>
          <w:p w14:paraId="6C61FB5E" w14:textId="6853DE18" w:rsidR="003E1B46" w:rsidRPr="001E4463" w:rsidRDefault="008A5586" w:rsidP="005A485F">
            <w:pPr>
              <w:spacing w:after="0" w:line="240" w:lineRule="auto"/>
              <w:rPr>
                <w:rFonts w:ascii="Arial" w:eastAsia="Times New Roman" w:hAnsi="Arial" w:cs="Arial"/>
                <w:szCs w:val="20"/>
                <w:lang w:eastAsia="en-AU"/>
              </w:rPr>
            </w:pPr>
            <w:r w:rsidRPr="001B5B58">
              <w:rPr>
                <w:rFonts w:ascii="Arial" w:hAnsi="Arial" w:cs="Arial"/>
                <w:i/>
                <w:iCs/>
                <w:szCs w:val="20"/>
              </w:rPr>
              <w:t>2020-21 investment: $</w:t>
            </w:r>
            <w:r w:rsidR="008B66CE">
              <w:rPr>
                <w:rFonts w:ascii="Arial" w:hAnsi="Arial" w:cs="Arial"/>
                <w:i/>
                <w:iCs/>
                <w:szCs w:val="20"/>
              </w:rPr>
              <w:t>106.4</w:t>
            </w:r>
            <w:r w:rsidRPr="001B5B58">
              <w:rPr>
                <w:rFonts w:ascii="Arial" w:hAnsi="Arial" w:cs="Arial"/>
                <w:i/>
                <w:iCs/>
                <w:szCs w:val="20"/>
              </w:rPr>
              <w:t xml:space="preserve"> million recurrent expenses &amp; $</w:t>
            </w:r>
            <w:r w:rsidR="008B66CE">
              <w:rPr>
                <w:rFonts w:ascii="Arial" w:hAnsi="Arial" w:cs="Arial"/>
                <w:i/>
                <w:iCs/>
                <w:szCs w:val="20"/>
              </w:rPr>
              <w:t>1.1</w:t>
            </w:r>
            <w:r w:rsidRPr="001B5B58">
              <w:rPr>
                <w:rFonts w:ascii="Arial" w:hAnsi="Arial" w:cs="Arial"/>
                <w:i/>
                <w:iCs/>
                <w:szCs w:val="20"/>
              </w:rPr>
              <w:t xml:space="preserve"> million capital expenditu</w:t>
            </w:r>
            <w:r>
              <w:rPr>
                <w:rFonts w:ascii="Arial" w:hAnsi="Arial" w:cs="Arial"/>
                <w:i/>
                <w:iCs/>
                <w:szCs w:val="20"/>
              </w:rPr>
              <w:t>re</w:t>
            </w:r>
          </w:p>
        </w:tc>
        <w:tc>
          <w:tcPr>
            <w:tcW w:w="278" w:type="dxa"/>
            <w:tcBorders>
              <w:top w:val="nil"/>
              <w:left w:val="nil"/>
              <w:right w:val="nil"/>
            </w:tcBorders>
            <w:shd w:val="clear" w:color="000000" w:fill="FFFFFF"/>
            <w:vAlign w:val="center"/>
            <w:hideMark/>
          </w:tcPr>
          <w:p w14:paraId="05F5236A" w14:textId="77777777" w:rsidR="003E1B46" w:rsidRPr="001E4463" w:rsidRDefault="003E1B46" w:rsidP="002E7F2A">
            <w:pPr>
              <w:spacing w:after="0" w:line="240" w:lineRule="auto"/>
              <w:rPr>
                <w:rFonts w:ascii="Arial" w:eastAsia="Times New Roman" w:hAnsi="Arial" w:cs="Arial"/>
                <w:color w:val="A6A6A6"/>
                <w:szCs w:val="20"/>
                <w:lang w:eastAsia="en-AU"/>
              </w:rPr>
            </w:pPr>
            <w:r w:rsidRPr="001E4463">
              <w:rPr>
                <w:rFonts w:ascii="Arial" w:eastAsia="Times New Roman" w:hAnsi="Arial" w:cs="Arial"/>
                <w:color w:val="A6A6A6"/>
                <w:szCs w:val="20"/>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5C3A1A" w14:textId="77777777" w:rsidR="003E1B46" w:rsidRPr="001E4463" w:rsidRDefault="003E1B46" w:rsidP="00E7560B">
            <w:pPr>
              <w:numPr>
                <w:ilvl w:val="0"/>
                <w:numId w:val="9"/>
              </w:numPr>
              <w:spacing w:after="0" w:line="240" w:lineRule="auto"/>
              <w:contextualSpacing/>
              <w:rPr>
                <w:rFonts w:ascii="Arial" w:eastAsia="Times New Roman" w:hAnsi="Arial" w:cs="Arial"/>
                <w:szCs w:val="20"/>
                <w:lang w:eastAsia="en-AU"/>
              </w:rPr>
            </w:pPr>
            <w:r w:rsidRPr="001E4463">
              <w:rPr>
                <w:rFonts w:ascii="Arial" w:eastAsia="Times New Roman" w:hAnsi="Arial" w:cs="Arial"/>
                <w:szCs w:val="20"/>
                <w:lang w:eastAsia="en-AU"/>
              </w:rPr>
              <w:t>Make regional NSW a preferred investment destination for exploration and mining</w:t>
            </w:r>
          </w:p>
          <w:p w14:paraId="752DD1CE" w14:textId="77777777" w:rsidR="003E1B46" w:rsidRPr="001E4463" w:rsidRDefault="003E1B46" w:rsidP="00E7560B">
            <w:pPr>
              <w:numPr>
                <w:ilvl w:val="0"/>
                <w:numId w:val="9"/>
              </w:numPr>
              <w:spacing w:after="0" w:line="240" w:lineRule="auto"/>
              <w:contextualSpacing/>
              <w:rPr>
                <w:rFonts w:ascii="Arial" w:eastAsia="Times New Roman" w:hAnsi="Arial" w:cs="Arial"/>
                <w:szCs w:val="20"/>
                <w:lang w:eastAsia="en-AU"/>
              </w:rPr>
            </w:pPr>
            <w:r w:rsidRPr="001E4463">
              <w:rPr>
                <w:rFonts w:ascii="Arial" w:eastAsia="Times New Roman" w:hAnsi="Arial" w:cs="Arial"/>
                <w:szCs w:val="20"/>
                <w:lang w:eastAsia="en-AU"/>
              </w:rPr>
              <w:t>Regulating safe and environmentally sustainable mini</w:t>
            </w:r>
            <w:bookmarkStart w:id="6" w:name="_GoBack"/>
            <w:bookmarkEnd w:id="6"/>
            <w:r w:rsidRPr="001E4463">
              <w:rPr>
                <w:rFonts w:ascii="Arial" w:eastAsia="Times New Roman" w:hAnsi="Arial" w:cs="Arial"/>
                <w:szCs w:val="20"/>
                <w:lang w:eastAsia="en-AU"/>
              </w:rPr>
              <w:t>ng</w:t>
            </w:r>
          </w:p>
        </w:tc>
      </w:tr>
      <w:tr w:rsidR="00EB782F" w:rsidRPr="00A31974" w14:paraId="0F4813C3" w14:textId="77777777" w:rsidTr="00EA5F71">
        <w:trPr>
          <w:trHeight w:val="20"/>
        </w:trPr>
        <w:tc>
          <w:tcPr>
            <w:tcW w:w="5102" w:type="dxa"/>
            <w:tcBorders>
              <w:left w:val="nil"/>
              <w:right w:val="nil"/>
            </w:tcBorders>
            <w:shd w:val="clear" w:color="auto" w:fill="auto"/>
            <w:vAlign w:val="center"/>
          </w:tcPr>
          <w:p w14:paraId="48037C6F" w14:textId="77777777" w:rsidR="00EB782F" w:rsidRPr="00A31974" w:rsidRDefault="00EB782F" w:rsidP="00CA4BFA">
            <w:pPr>
              <w:pStyle w:val="ListParagraph"/>
              <w:spacing w:before="80" w:after="0" w:line="240" w:lineRule="auto"/>
              <w:ind w:left="360"/>
              <w:rPr>
                <w:rFonts w:eastAsia="Times New Roman" w:cs="Arial"/>
                <w:b/>
                <w:sz w:val="2"/>
                <w:szCs w:val="2"/>
                <w:lang w:eastAsia="en-AU"/>
              </w:rPr>
            </w:pPr>
          </w:p>
        </w:tc>
        <w:tc>
          <w:tcPr>
            <w:tcW w:w="278" w:type="dxa"/>
            <w:tcBorders>
              <w:left w:val="nil"/>
            </w:tcBorders>
            <w:shd w:val="clear" w:color="auto" w:fill="auto"/>
            <w:vAlign w:val="center"/>
          </w:tcPr>
          <w:p w14:paraId="48C98DB5" w14:textId="77777777" w:rsidR="00EB782F" w:rsidRPr="00A31974" w:rsidRDefault="00EB782F" w:rsidP="002E7F2A">
            <w:pPr>
              <w:spacing w:after="0" w:line="240" w:lineRule="auto"/>
              <w:rPr>
                <w:rFonts w:ascii="Arial" w:eastAsia="Times New Roman" w:hAnsi="Arial" w:cs="Arial"/>
                <w:color w:val="A6A6A6"/>
                <w:sz w:val="2"/>
                <w:szCs w:val="2"/>
                <w:lang w:eastAsia="en-AU"/>
              </w:rPr>
            </w:pPr>
          </w:p>
        </w:tc>
        <w:tc>
          <w:tcPr>
            <w:tcW w:w="4535" w:type="dxa"/>
            <w:tcBorders>
              <w:top w:val="single" w:sz="4" w:space="0" w:color="auto"/>
            </w:tcBorders>
            <w:shd w:val="clear" w:color="auto" w:fill="auto"/>
            <w:vAlign w:val="center"/>
          </w:tcPr>
          <w:p w14:paraId="774E3B5B" w14:textId="77777777" w:rsidR="00EB782F" w:rsidRDefault="00EB782F" w:rsidP="00A31974">
            <w:pPr>
              <w:spacing w:after="0" w:line="240" w:lineRule="auto"/>
              <w:contextualSpacing/>
              <w:rPr>
                <w:rFonts w:ascii="Arial" w:eastAsia="Times New Roman" w:hAnsi="Arial" w:cs="Arial"/>
                <w:sz w:val="2"/>
                <w:szCs w:val="2"/>
                <w:lang w:eastAsia="en-AU"/>
              </w:rPr>
            </w:pPr>
          </w:p>
        </w:tc>
      </w:tr>
      <w:tr w:rsidR="00C60B6D" w:rsidRPr="001E4463" w14:paraId="58E345E9" w14:textId="77777777" w:rsidTr="00AB0C5B">
        <w:trPr>
          <w:trHeight w:val="1760"/>
        </w:trPr>
        <w:tc>
          <w:tcPr>
            <w:tcW w:w="5102" w:type="dxa"/>
            <w:tcBorders>
              <w:top w:val="nil"/>
              <w:left w:val="nil"/>
              <w:bottom w:val="nil"/>
              <w:right w:val="nil"/>
            </w:tcBorders>
            <w:shd w:val="clear" w:color="000000" w:fill="EBF7FE"/>
            <w:vAlign w:val="center"/>
            <w:hideMark/>
          </w:tcPr>
          <w:p w14:paraId="7C3FB7A3" w14:textId="77777777" w:rsidR="003E1B46" w:rsidRPr="001E4463" w:rsidRDefault="003E1B46" w:rsidP="003E7020">
            <w:pPr>
              <w:pStyle w:val="ListParagraph"/>
              <w:numPr>
                <w:ilvl w:val="0"/>
                <w:numId w:val="11"/>
              </w:numPr>
              <w:spacing w:before="8" w:after="80" w:line="240" w:lineRule="auto"/>
              <w:ind w:left="357" w:hanging="357"/>
              <w:contextualSpacing w:val="0"/>
              <w:rPr>
                <w:rFonts w:eastAsia="Times New Roman" w:cs="Arial"/>
                <w:b/>
                <w:bCs/>
                <w:szCs w:val="20"/>
                <w:lang w:eastAsia="en-AU"/>
              </w:rPr>
            </w:pPr>
            <w:r w:rsidRPr="00667DA3">
              <w:rPr>
                <w:rFonts w:eastAsia="Times New Roman" w:cs="Arial"/>
                <w:b/>
                <w:szCs w:val="20"/>
                <w:lang w:eastAsia="en-AU"/>
              </w:rPr>
              <w:lastRenderedPageBreak/>
              <w:t xml:space="preserve">Stronger and </w:t>
            </w:r>
            <w:r w:rsidRPr="001E4463">
              <w:rPr>
                <w:rFonts w:eastAsia="Times New Roman" w:cs="Arial"/>
                <w:b/>
                <w:bCs/>
                <w:szCs w:val="20"/>
                <w:lang w:eastAsia="en-AU"/>
              </w:rPr>
              <w:t>cohesive regional communities and economies</w:t>
            </w:r>
          </w:p>
          <w:p w14:paraId="3374E007" w14:textId="0F61EF58" w:rsidR="003E1B46" w:rsidRPr="001E4463" w:rsidRDefault="003E1B46" w:rsidP="00906427">
            <w:pPr>
              <w:spacing w:after="0" w:line="240" w:lineRule="auto"/>
              <w:rPr>
                <w:rFonts w:ascii="Arial" w:eastAsia="Times New Roman" w:hAnsi="Arial" w:cs="Arial"/>
                <w:szCs w:val="20"/>
                <w:lang w:eastAsia="en-AU"/>
              </w:rPr>
            </w:pPr>
            <w:r w:rsidRPr="001E4463">
              <w:rPr>
                <w:rFonts w:ascii="Arial" w:eastAsia="Times New Roman" w:hAnsi="Arial" w:cs="Arial"/>
                <w:szCs w:val="20"/>
                <w:lang w:eastAsia="en-AU"/>
              </w:rPr>
              <w:t xml:space="preserve">Focusing on community wellbeing and economic growth in regional New South Wales. Regions have endured unprecedented destruction and disruption through the compounding impacts of drought, bushfires, floods and COVID-19. We continue to refocus efforts on the changed economic conditions and refreshing the </w:t>
            </w:r>
            <w:r w:rsidRPr="001E4463">
              <w:rPr>
                <w:rFonts w:ascii="Arial" w:eastAsia="Times New Roman" w:hAnsi="Arial" w:cs="Arial"/>
                <w:i/>
                <w:iCs/>
                <w:szCs w:val="20"/>
                <w:lang w:eastAsia="en-AU"/>
              </w:rPr>
              <w:t>20-Year Economic Vision for Regional NSW.</w:t>
            </w:r>
          </w:p>
          <w:p w14:paraId="4D6231F8" w14:textId="4B23E4DE" w:rsidR="00203C6B" w:rsidRPr="000E4E18" w:rsidRDefault="00203C6B" w:rsidP="00203C6B">
            <w:pPr>
              <w:spacing w:after="0" w:line="240" w:lineRule="auto"/>
              <w:rPr>
                <w:rFonts w:ascii="Arial" w:eastAsia="Times New Roman" w:hAnsi="Arial" w:cs="Arial"/>
                <w:sz w:val="12"/>
                <w:szCs w:val="12"/>
                <w:lang w:eastAsia="en-AU"/>
              </w:rPr>
            </w:pPr>
          </w:p>
          <w:p w14:paraId="34EB2DA3" w14:textId="0332C2A7" w:rsidR="008A5586" w:rsidRPr="008A7F8F" w:rsidRDefault="008A5586" w:rsidP="00203C6B">
            <w:pPr>
              <w:spacing w:after="0" w:line="240" w:lineRule="auto"/>
              <w:rPr>
                <w:rFonts w:ascii="Arial" w:hAnsi="Arial" w:cs="Arial"/>
              </w:rPr>
            </w:pPr>
            <w:r w:rsidRPr="001B5B58">
              <w:rPr>
                <w:rFonts w:ascii="Arial" w:hAnsi="Arial" w:cs="Arial"/>
                <w:i/>
                <w:iCs/>
                <w:szCs w:val="20"/>
              </w:rPr>
              <w:t>2020-21 investment: $</w:t>
            </w:r>
            <w:r w:rsidR="003F3DF7">
              <w:rPr>
                <w:rFonts w:ascii="Arial" w:hAnsi="Arial" w:cs="Arial"/>
                <w:i/>
                <w:iCs/>
                <w:szCs w:val="20"/>
              </w:rPr>
              <w:t>1.</w:t>
            </w:r>
            <w:r w:rsidR="002823A0">
              <w:rPr>
                <w:rFonts w:ascii="Arial" w:hAnsi="Arial" w:cs="Arial"/>
                <w:i/>
                <w:iCs/>
                <w:szCs w:val="20"/>
              </w:rPr>
              <w:t>3</w:t>
            </w:r>
            <w:r w:rsidRPr="001B5B58">
              <w:rPr>
                <w:rFonts w:ascii="Arial" w:hAnsi="Arial" w:cs="Arial"/>
                <w:i/>
                <w:iCs/>
                <w:szCs w:val="20"/>
              </w:rPr>
              <w:t xml:space="preserve"> </w:t>
            </w:r>
            <w:r w:rsidR="00E858B1">
              <w:rPr>
                <w:rFonts w:ascii="Arial" w:hAnsi="Arial" w:cs="Arial"/>
                <w:i/>
                <w:iCs/>
                <w:szCs w:val="20"/>
              </w:rPr>
              <w:t>billion</w:t>
            </w:r>
            <w:r w:rsidRPr="001B5B58">
              <w:rPr>
                <w:rFonts w:ascii="Arial" w:hAnsi="Arial" w:cs="Arial"/>
                <w:i/>
                <w:iCs/>
                <w:szCs w:val="20"/>
              </w:rPr>
              <w:t xml:space="preserve"> recurrent expenses &amp; $</w:t>
            </w:r>
            <w:r w:rsidR="00E858B1">
              <w:rPr>
                <w:rFonts w:ascii="Arial" w:hAnsi="Arial" w:cs="Arial"/>
                <w:i/>
                <w:iCs/>
                <w:szCs w:val="20"/>
              </w:rPr>
              <w:t>236.6</w:t>
            </w:r>
            <w:r w:rsidRPr="001B5B58">
              <w:rPr>
                <w:rFonts w:ascii="Arial" w:hAnsi="Arial" w:cs="Arial"/>
                <w:i/>
                <w:iCs/>
                <w:szCs w:val="20"/>
              </w:rPr>
              <w:t xml:space="preserve"> million capital expenditure</w:t>
            </w:r>
          </w:p>
          <w:p w14:paraId="25C3311B" w14:textId="56CF954F" w:rsidR="003E1B46" w:rsidRPr="001E4463" w:rsidRDefault="003E1B46" w:rsidP="002E7F2A">
            <w:pPr>
              <w:spacing w:after="0" w:line="240" w:lineRule="auto"/>
              <w:rPr>
                <w:rFonts w:ascii="Arial" w:eastAsia="Times New Roman" w:hAnsi="Arial" w:cs="Arial"/>
                <w:szCs w:val="20"/>
                <w:lang w:eastAsia="en-AU"/>
              </w:rPr>
            </w:pPr>
          </w:p>
        </w:tc>
        <w:tc>
          <w:tcPr>
            <w:tcW w:w="278" w:type="dxa"/>
            <w:tcBorders>
              <w:top w:val="nil"/>
              <w:left w:val="nil"/>
              <w:bottom w:val="nil"/>
              <w:right w:val="nil"/>
            </w:tcBorders>
            <w:shd w:val="clear" w:color="000000" w:fill="FFFFFF"/>
            <w:vAlign w:val="center"/>
            <w:hideMark/>
          </w:tcPr>
          <w:p w14:paraId="4C3F9400" w14:textId="77777777" w:rsidR="003E1B46" w:rsidRPr="001E4463" w:rsidRDefault="003E1B46" w:rsidP="002E7F2A">
            <w:pPr>
              <w:spacing w:after="0" w:line="240" w:lineRule="auto"/>
              <w:rPr>
                <w:rFonts w:ascii="Arial" w:eastAsia="Times New Roman" w:hAnsi="Arial" w:cs="Arial"/>
                <w:color w:val="A6A6A6"/>
                <w:szCs w:val="20"/>
                <w:lang w:eastAsia="en-AU"/>
              </w:rPr>
            </w:pPr>
            <w:r w:rsidRPr="001E4463">
              <w:rPr>
                <w:rFonts w:ascii="Arial" w:eastAsia="Times New Roman" w:hAnsi="Arial" w:cs="Arial"/>
                <w:color w:val="A6A6A6"/>
                <w:szCs w:val="20"/>
                <w:lang w:eastAsia="en-AU"/>
              </w:rPr>
              <w:t> </w:t>
            </w:r>
          </w:p>
        </w:tc>
        <w:tc>
          <w:tcPr>
            <w:tcW w:w="4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DB0DF" w14:textId="77777777" w:rsidR="003E1B46" w:rsidRPr="001E4463" w:rsidRDefault="003E1B46" w:rsidP="00E7560B">
            <w:pPr>
              <w:numPr>
                <w:ilvl w:val="0"/>
                <w:numId w:val="10"/>
              </w:numPr>
              <w:spacing w:after="0" w:line="240" w:lineRule="auto"/>
              <w:contextualSpacing/>
              <w:rPr>
                <w:rFonts w:ascii="Arial" w:eastAsia="Times New Roman" w:hAnsi="Arial" w:cs="Arial"/>
                <w:szCs w:val="20"/>
                <w:lang w:eastAsia="en-AU"/>
              </w:rPr>
            </w:pPr>
            <w:r w:rsidRPr="001E4463">
              <w:rPr>
                <w:rFonts w:ascii="Arial" w:eastAsia="Times New Roman" w:hAnsi="Arial" w:cs="Arial"/>
                <w:szCs w:val="20"/>
                <w:lang w:eastAsia="en-AU"/>
              </w:rPr>
              <w:t>Growth, development and wellbeing in regional NSW</w:t>
            </w:r>
          </w:p>
          <w:p w14:paraId="141731EE" w14:textId="77777777" w:rsidR="003E1B46" w:rsidRPr="001E4463" w:rsidRDefault="003E1B46" w:rsidP="00E7560B">
            <w:pPr>
              <w:numPr>
                <w:ilvl w:val="0"/>
                <w:numId w:val="10"/>
              </w:numPr>
              <w:spacing w:after="0" w:line="240" w:lineRule="auto"/>
              <w:contextualSpacing/>
              <w:rPr>
                <w:rFonts w:ascii="Arial" w:eastAsia="Times New Roman" w:hAnsi="Arial" w:cs="Arial"/>
                <w:szCs w:val="20"/>
                <w:lang w:eastAsia="en-AU"/>
              </w:rPr>
            </w:pPr>
            <w:r w:rsidRPr="001E4463">
              <w:rPr>
                <w:rFonts w:ascii="Arial" w:eastAsia="Times New Roman" w:hAnsi="Arial" w:cs="Arial"/>
                <w:szCs w:val="20"/>
                <w:lang w:eastAsia="en-AU"/>
              </w:rPr>
              <w:t>Regional Growth NSW Development Corporation</w:t>
            </w:r>
            <w:r w:rsidRPr="001E4463">
              <w:rPr>
                <w:rFonts w:ascii="Arial" w:eastAsia="Times New Roman" w:hAnsi="Arial" w:cs="Arial"/>
                <w:szCs w:val="20"/>
                <w:lang w:eastAsia="en-AU"/>
              </w:rPr>
              <w:br/>
            </w:r>
          </w:p>
        </w:tc>
      </w:tr>
    </w:tbl>
    <w:p w14:paraId="7CE18DBF" w14:textId="77777777" w:rsidR="00B43FFE" w:rsidRPr="000E15D0" w:rsidRDefault="002E7F2A" w:rsidP="000E15D0">
      <w:pPr>
        <w:spacing w:after="0" w:line="240" w:lineRule="auto"/>
        <w:rPr>
          <w:rFonts w:ascii="Arial" w:hAnsi="Arial" w:cs="Arial"/>
          <w:sz w:val="6"/>
          <w:szCs w:val="6"/>
          <w:lang w:eastAsia="en-AU"/>
        </w:rPr>
      </w:pPr>
      <w:r w:rsidRPr="000E15D0">
        <w:rPr>
          <w:rFonts w:ascii="Arial" w:hAnsi="Arial" w:cs="Arial"/>
          <w:sz w:val="6"/>
          <w:szCs w:val="6"/>
          <w:lang w:eastAsia="en-AU"/>
        </w:rPr>
        <w:t> </w:t>
      </w:r>
    </w:p>
    <w:p w14:paraId="4DEE9D88" w14:textId="0F251A73" w:rsidR="002E7F2A" w:rsidRPr="00B43FFE" w:rsidRDefault="002E7F2A" w:rsidP="00E7560B">
      <w:pPr>
        <w:pStyle w:val="ListParagraph"/>
        <w:numPr>
          <w:ilvl w:val="0"/>
          <w:numId w:val="13"/>
        </w:numPr>
        <w:ind w:left="284" w:hanging="284"/>
        <w:rPr>
          <w:rFonts w:cs="Arial"/>
          <w:sz w:val="17"/>
          <w:szCs w:val="17"/>
        </w:rPr>
      </w:pPr>
      <w:r w:rsidRPr="00B43FFE">
        <w:rPr>
          <w:rFonts w:cs="Arial"/>
          <w:sz w:val="17"/>
          <w:szCs w:val="17"/>
        </w:rPr>
        <w:t xml:space="preserve">Note that Programs are being further refined as the </w:t>
      </w:r>
      <w:r w:rsidRPr="009743FA">
        <w:rPr>
          <w:rFonts w:cs="Arial"/>
          <w:i/>
          <w:iCs/>
          <w:sz w:val="17"/>
          <w:szCs w:val="17"/>
        </w:rPr>
        <w:t>outcome and performance framework</w:t>
      </w:r>
      <w:r w:rsidRPr="00B43FFE">
        <w:rPr>
          <w:rFonts w:cs="Arial"/>
          <w:sz w:val="17"/>
          <w:szCs w:val="17"/>
        </w:rPr>
        <w:t xml:space="preserve"> continues to mature</w:t>
      </w:r>
      <w:r w:rsidR="00766F99">
        <w:rPr>
          <w:rFonts w:cs="Arial"/>
          <w:sz w:val="17"/>
          <w:szCs w:val="17"/>
        </w:rPr>
        <w:t>.</w:t>
      </w:r>
      <w:r w:rsidRPr="00B43FFE">
        <w:rPr>
          <w:rFonts w:cs="Arial"/>
          <w:sz w:val="17"/>
          <w:szCs w:val="17"/>
        </w:rPr>
        <w:t xml:space="preserve"> </w:t>
      </w:r>
    </w:p>
    <w:bookmarkEnd w:id="2"/>
    <w:p w14:paraId="7E37D87E" w14:textId="3686FAE0" w:rsidR="008623D2" w:rsidRPr="00317F99" w:rsidRDefault="008623D2" w:rsidP="008623D2">
      <w:pPr>
        <w:rPr>
          <w:rFonts w:ascii="Arial" w:hAnsi="Arial" w:cs="Arial"/>
          <w:sz w:val="16"/>
          <w:szCs w:val="16"/>
        </w:rPr>
      </w:pPr>
      <w:r w:rsidRPr="001E4463">
        <w:rPr>
          <w:rFonts w:ascii="Arial" w:eastAsia="Times New Roman" w:hAnsi="Arial" w:cs="Arial"/>
          <w:color w:val="A6A6A6"/>
          <w:szCs w:val="20"/>
          <w:lang w:eastAsia="en-AU"/>
        </w:rPr>
        <w:t> </w:t>
      </w:r>
      <w:r w:rsidRPr="00317F99">
        <w:rPr>
          <w:rFonts w:ascii="Arial" w:hAnsi="Arial" w:cs="Arial"/>
          <w:sz w:val="16"/>
          <w:szCs w:val="16"/>
        </w:rPr>
        <w:t xml:space="preserve"> </w:t>
      </w:r>
    </w:p>
    <w:p w14:paraId="5B08DDF5" w14:textId="77777777" w:rsidR="008623D2" w:rsidRDefault="008623D2">
      <w:pPr>
        <w:rPr>
          <w:rFonts w:ascii="Arial" w:eastAsia="Calibri" w:hAnsi="Arial" w:cs="Arial"/>
          <w:sz w:val="23"/>
          <w:szCs w:val="23"/>
        </w:rPr>
      </w:pPr>
    </w:p>
    <w:p w14:paraId="71747980" w14:textId="24047BAA" w:rsidR="0053233E" w:rsidRPr="007C5993" w:rsidRDefault="0053233E">
      <w:pPr>
        <w:rPr>
          <w:rFonts w:ascii="Arial" w:hAnsi="Arial" w:cs="Arial"/>
        </w:rPr>
      </w:pPr>
      <w:r>
        <w:rPr>
          <w:rFonts w:ascii="Arial" w:eastAsia="Calibri" w:hAnsi="Arial" w:cs="Arial"/>
          <w:sz w:val="23"/>
          <w:szCs w:val="23"/>
        </w:rPr>
        <w:br w:type="page"/>
      </w:r>
    </w:p>
    <w:p w14:paraId="7DA46EA8" w14:textId="38A35C3B" w:rsidR="00251ECC" w:rsidRDefault="00251ECC" w:rsidP="009743FA">
      <w:pPr>
        <w:pStyle w:val="Heading2"/>
      </w:pPr>
      <w:r>
        <w:lastRenderedPageBreak/>
        <w:t xml:space="preserve">Overview of </w:t>
      </w:r>
      <w:r w:rsidR="00747987">
        <w:t>C</w:t>
      </w:r>
      <w:r>
        <w:t xml:space="preserve">luster </w:t>
      </w:r>
      <w:r w:rsidR="00120D47">
        <w:t>expenses by State Outcome</w:t>
      </w:r>
    </w:p>
    <w:p w14:paraId="4970E1FC" w14:textId="6A7F31B6" w:rsidR="004C50A5" w:rsidRPr="004C50A5" w:rsidRDefault="004C50A5" w:rsidP="004052A2">
      <w:pPr>
        <w:pStyle w:val="BodyText"/>
      </w:pPr>
      <w:r w:rsidRPr="004C50A5">
        <w:t>A summary of expenses by State Outcome is provided in the chart</w:t>
      </w:r>
      <w:r w:rsidR="001676CC">
        <w:t>s</w:t>
      </w:r>
      <w:r w:rsidRPr="004C50A5">
        <w:t xml:space="preserve"> below.</w:t>
      </w:r>
    </w:p>
    <w:p w14:paraId="0DB33B9F" w14:textId="51783CB8" w:rsidR="00811D77" w:rsidRPr="00811D77" w:rsidRDefault="00E345EC" w:rsidP="00811D77">
      <w:pPr>
        <w:pStyle w:val="Chart4X"/>
        <w:ind w:left="1134" w:hanging="1134"/>
      </w:pPr>
      <w:r w:rsidRPr="000D168E">
        <w:t xml:space="preserve">Recurrent expenses by </w:t>
      </w:r>
      <w:r w:rsidR="00212852">
        <w:t>O</w:t>
      </w:r>
      <w:r w:rsidRPr="000D168E">
        <w:t>utcome 2020-21 (dollars and %)</w:t>
      </w:r>
    </w:p>
    <w:p w14:paraId="4F4E1CA6" w14:textId="4625B532" w:rsidR="000C5D33" w:rsidRDefault="00307379">
      <w:pPr>
        <w:rPr>
          <w:rFonts w:cs="Arial"/>
          <w:b/>
          <w:sz w:val="23"/>
          <w:szCs w:val="23"/>
        </w:rPr>
      </w:pPr>
      <w:r>
        <w:rPr>
          <w:noProof/>
        </w:rPr>
        <w:drawing>
          <wp:inline distT="0" distB="0" distL="0" distR="0" wp14:anchorId="2FA5109D" wp14:editId="199059CA">
            <wp:extent cx="6120765" cy="2842260"/>
            <wp:effectExtent l="0" t="0" r="13335" b="15240"/>
            <wp:docPr id="17" name="Chart 17" descr="Chart 6.1: Recurrent expenses by Outcome 2020-21 (dollars and %)">
              <a:extLst xmlns:a="http://schemas.openxmlformats.org/drawingml/2006/main">
                <a:ext uri="{FF2B5EF4-FFF2-40B4-BE49-F238E27FC236}">
                  <a16:creationId xmlns:a16="http://schemas.microsoft.com/office/drawing/2014/main" id="{0060F0F9-5D7F-4F20-B366-3819E1170F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F625D7" w14:textId="79F30A57" w:rsidR="000C5D33" w:rsidRPr="004B7395" w:rsidRDefault="562BA290" w:rsidP="00C763D1">
      <w:pPr>
        <w:pStyle w:val="Chart4X"/>
        <w:ind w:left="1134" w:hanging="1134"/>
      </w:pPr>
      <w:r w:rsidRPr="004B7395">
        <w:t xml:space="preserve">Capital expenditure by </w:t>
      </w:r>
      <w:r w:rsidR="00212852">
        <w:t>O</w:t>
      </w:r>
      <w:r w:rsidRPr="004B7395">
        <w:t>utcome 2020-21 (dollars and %)</w:t>
      </w:r>
    </w:p>
    <w:p w14:paraId="41C7E124" w14:textId="67C5AA5E" w:rsidR="00E57B6E" w:rsidRDefault="005317A4">
      <w:pPr>
        <w:rPr>
          <w:rFonts w:cs="Arial"/>
          <w:b/>
          <w:sz w:val="23"/>
          <w:szCs w:val="23"/>
        </w:rPr>
      </w:pPr>
      <w:r>
        <w:rPr>
          <w:noProof/>
        </w:rPr>
        <w:drawing>
          <wp:inline distT="0" distB="0" distL="0" distR="0" wp14:anchorId="6D058A2E" wp14:editId="2F746757">
            <wp:extent cx="6120765" cy="2870835"/>
            <wp:effectExtent l="0" t="0" r="13335" b="5715"/>
            <wp:docPr id="18" name="Chart 18" descr="Chart 6.2: Capital expenditure by Outcome 2020-21 (dollars and %)">
              <a:extLst xmlns:a="http://schemas.openxmlformats.org/drawingml/2006/main">
                <a:ext uri="{FF2B5EF4-FFF2-40B4-BE49-F238E27FC236}">
                  <a16:creationId xmlns:a16="http://schemas.microsoft.com/office/drawing/2014/main" id="{DDF8B4E8-F671-4C58-B68F-41BBEBE20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8AB2F7" w14:textId="238E99AD" w:rsidR="00BC2101" w:rsidRPr="00BC2101" w:rsidRDefault="00BC2101" w:rsidP="00BC2101">
      <w:pPr>
        <w:pStyle w:val="ListParagraph"/>
        <w:numPr>
          <w:ilvl w:val="0"/>
          <w:numId w:val="22"/>
        </w:numPr>
        <w:spacing w:after="0" w:line="240" w:lineRule="auto"/>
        <w:ind w:left="357" w:hanging="357"/>
        <w:rPr>
          <w:rFonts w:eastAsia="Times New Roman" w:cs="Arial"/>
          <w:color w:val="000000"/>
          <w:sz w:val="17"/>
          <w:szCs w:val="17"/>
          <w:lang w:eastAsia="en-AU"/>
        </w:rPr>
      </w:pPr>
      <w:r w:rsidRPr="00BC2101">
        <w:rPr>
          <w:rFonts w:eastAsia="Times New Roman" w:cs="Arial"/>
          <w:color w:val="000000"/>
          <w:sz w:val="17"/>
          <w:szCs w:val="17"/>
          <w:lang w:eastAsia="en-AU"/>
        </w:rPr>
        <w:t>Grouped for presentation purposes, “Other State Outcomes” comprises:</w:t>
      </w:r>
    </w:p>
    <w:p w14:paraId="2200A29F" w14:textId="4041E9F9" w:rsidR="00BC2101" w:rsidRPr="00BC2101" w:rsidRDefault="00BC2101" w:rsidP="00BC2101">
      <w:pPr>
        <w:pStyle w:val="ListParagraph"/>
        <w:numPr>
          <w:ilvl w:val="0"/>
          <w:numId w:val="20"/>
        </w:numPr>
        <w:autoSpaceDE w:val="0"/>
        <w:autoSpaceDN w:val="0"/>
        <w:adjustRightInd w:val="0"/>
        <w:rPr>
          <w:rFonts w:cs="Arial"/>
          <w:color w:val="000000"/>
          <w:sz w:val="17"/>
          <w:szCs w:val="17"/>
          <w:lang w:eastAsia="zh-TW"/>
        </w:rPr>
      </w:pPr>
      <w:r w:rsidRPr="00BC2101">
        <w:rPr>
          <w:rFonts w:cs="Arial"/>
          <w:color w:val="000000"/>
          <w:sz w:val="17"/>
          <w:szCs w:val="17"/>
          <w:lang w:eastAsia="zh-TW"/>
        </w:rPr>
        <w:t>Mineral and petroleum industries generating prosperity, safely</w:t>
      </w:r>
    </w:p>
    <w:p w14:paraId="0D6B6F07" w14:textId="3752E014" w:rsidR="00BC2101" w:rsidRPr="00BC2101" w:rsidRDefault="00BC2101" w:rsidP="00BC2101">
      <w:pPr>
        <w:pStyle w:val="ListParagraph"/>
        <w:numPr>
          <w:ilvl w:val="0"/>
          <w:numId w:val="20"/>
        </w:numPr>
        <w:autoSpaceDE w:val="0"/>
        <w:autoSpaceDN w:val="0"/>
        <w:adjustRightInd w:val="0"/>
        <w:rPr>
          <w:rFonts w:cs="Arial"/>
          <w:color w:val="000000"/>
          <w:sz w:val="17"/>
          <w:szCs w:val="17"/>
          <w:lang w:eastAsia="zh-TW"/>
        </w:rPr>
      </w:pPr>
      <w:r w:rsidRPr="00BC2101">
        <w:rPr>
          <w:rFonts w:cs="Arial"/>
          <w:color w:val="000000"/>
          <w:sz w:val="17"/>
          <w:szCs w:val="17"/>
          <w:lang w:eastAsia="zh-TW"/>
        </w:rPr>
        <w:t>Productive and sustainable land use</w:t>
      </w:r>
      <w:r w:rsidR="00693137">
        <w:rPr>
          <w:rFonts w:cs="Arial"/>
          <w:color w:val="000000"/>
          <w:sz w:val="17"/>
          <w:szCs w:val="17"/>
          <w:lang w:eastAsia="zh-TW"/>
        </w:rPr>
        <w:t>.</w:t>
      </w:r>
    </w:p>
    <w:p w14:paraId="00B644C1" w14:textId="4D7B0498" w:rsidR="00811D77" w:rsidRPr="00811D77" w:rsidRDefault="004C50A5" w:rsidP="00811D77">
      <w:pPr>
        <w:spacing w:after="0" w:line="240" w:lineRule="auto"/>
        <w:rPr>
          <w:rFonts w:ascii="Arial" w:eastAsia="Times New Roman" w:hAnsi="Arial" w:cs="Arial"/>
          <w:i/>
          <w:sz w:val="17"/>
          <w:szCs w:val="17"/>
        </w:rPr>
      </w:pPr>
      <w:r w:rsidRPr="000C6D41">
        <w:rPr>
          <w:rFonts w:ascii="Arial" w:eastAsia="Times New Roman" w:hAnsi="Arial" w:cs="Arial"/>
          <w:i/>
          <w:sz w:val="17"/>
          <w:szCs w:val="17"/>
        </w:rPr>
        <w:br w:type="page"/>
      </w:r>
    </w:p>
    <w:p w14:paraId="4D7852DC" w14:textId="41B690F4" w:rsidR="00AE5092" w:rsidRPr="00F67C09" w:rsidRDefault="00472380" w:rsidP="00F17BC3">
      <w:pPr>
        <w:pStyle w:val="Heading2"/>
      </w:pPr>
      <w:bookmarkStart w:id="7" w:name="_Hlk54117863"/>
      <w:r>
        <w:lastRenderedPageBreak/>
        <w:t>Outcome 1:</w:t>
      </w:r>
      <w:r w:rsidR="00492CB4">
        <w:t xml:space="preserve"> </w:t>
      </w:r>
      <w:r w:rsidR="00F67C09" w:rsidRPr="00F67C09">
        <w:t>Productive and sustainable land use</w:t>
      </w:r>
    </w:p>
    <w:tbl>
      <w:tblPr>
        <w:tblpPr w:leftFromText="180" w:rightFromText="180" w:vertAnchor="text" w:horzAnchor="margin" w:tblpXSpec="right" w:tblpY="763"/>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AE5092" w:rsidRPr="00F8244B" w14:paraId="4D0501C1" w14:textId="77777777" w:rsidTr="562BA290">
        <w:trPr>
          <w:cantSplit/>
          <w:trHeight w:val="784"/>
        </w:trPr>
        <w:tc>
          <w:tcPr>
            <w:tcW w:w="1729" w:type="pct"/>
            <w:shd w:val="clear" w:color="auto" w:fill="F2F2F2" w:themeFill="background1" w:themeFillShade="F2"/>
            <w:vAlign w:val="center"/>
          </w:tcPr>
          <w:p w14:paraId="1C0FA43C" w14:textId="77777777" w:rsidR="00AE5092" w:rsidRPr="00F8244B" w:rsidRDefault="00AE5092" w:rsidP="00E32DE6">
            <w:pPr>
              <w:spacing w:before="120" w:after="120"/>
              <w:rPr>
                <w:rFonts w:ascii="Arial" w:hAnsi="Arial" w:cs="Arial"/>
                <w:sz w:val="23"/>
                <w:szCs w:val="23"/>
              </w:rPr>
            </w:pPr>
            <w:r w:rsidRPr="00F8244B">
              <w:rPr>
                <w:rFonts w:ascii="Arial" w:hAnsi="Arial" w:cs="Arial"/>
                <w:noProof/>
                <w:lang w:eastAsia="en-AU"/>
              </w:rPr>
              <w:drawing>
                <wp:inline distT="0" distB="0" distL="0" distR="0" wp14:anchorId="392E11DB" wp14:editId="376FDD6B">
                  <wp:extent cx="518160" cy="518160"/>
                  <wp:effectExtent l="0" t="0" r="0" b="0"/>
                  <wp:docPr id="7" name="Picture 7"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1F1C41E7" w14:textId="239666D3" w:rsidR="00AE5092" w:rsidRPr="00F8244B" w:rsidRDefault="000E0ED8" w:rsidP="00E32DE6">
            <w:pPr>
              <w:spacing w:before="120" w:after="120"/>
              <w:jc w:val="center"/>
              <w:rPr>
                <w:rFonts w:ascii="Arial" w:hAnsi="Arial" w:cs="Arial"/>
                <w:color w:val="00ABE6"/>
                <w:sz w:val="18"/>
                <w:szCs w:val="18"/>
              </w:rPr>
            </w:pPr>
            <w:r w:rsidRPr="000E0ED8">
              <w:rPr>
                <w:rFonts w:ascii="Arial" w:hAnsi="Arial" w:cs="Arial"/>
                <w:color w:val="00ABE6"/>
                <w:sz w:val="18"/>
                <w:szCs w:val="18"/>
              </w:rPr>
              <w:t>$</w:t>
            </w:r>
            <w:r w:rsidRPr="000E0ED8" w:rsidDel="00DD596A">
              <w:rPr>
                <w:rFonts w:ascii="Arial" w:hAnsi="Arial" w:cs="Arial"/>
                <w:color w:val="00ABE6"/>
                <w:sz w:val="18"/>
                <w:szCs w:val="18"/>
              </w:rPr>
              <w:t>376.4</w:t>
            </w:r>
            <w:r w:rsidR="562BA290" w:rsidRPr="000E0ED8">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1A1905ED" w14:textId="77777777" w:rsidR="00AE5092" w:rsidRPr="00F8244B" w:rsidRDefault="00AE5092" w:rsidP="00E32DE6">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AE5092" w:rsidRPr="00F8244B" w14:paraId="5096E521" w14:textId="77777777" w:rsidTr="562BA290">
        <w:trPr>
          <w:cantSplit/>
          <w:trHeight w:val="784"/>
        </w:trPr>
        <w:tc>
          <w:tcPr>
            <w:tcW w:w="1729" w:type="pct"/>
            <w:shd w:val="clear" w:color="auto" w:fill="F2F2F2" w:themeFill="background1" w:themeFillShade="F2"/>
            <w:vAlign w:val="center"/>
          </w:tcPr>
          <w:p w14:paraId="54212CD8" w14:textId="77777777" w:rsidR="00AE5092" w:rsidRPr="00F8244B" w:rsidRDefault="00AE5092" w:rsidP="00E32DE6">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598E2A0F" wp14:editId="3DF079A2">
                  <wp:extent cx="525145" cy="525145"/>
                  <wp:effectExtent l="0" t="0" r="8255" b="8255"/>
                  <wp:docPr id="8" name="Picture 8"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17C22B3F" w14:textId="65321817" w:rsidR="00AE5092" w:rsidRPr="00F8244B" w:rsidRDefault="562BA290" w:rsidP="00E32DE6">
            <w:pPr>
              <w:spacing w:before="120" w:after="120"/>
              <w:jc w:val="center"/>
              <w:rPr>
                <w:rFonts w:ascii="Arial" w:hAnsi="Arial" w:cs="Arial"/>
                <w:color w:val="00ABE6"/>
                <w:sz w:val="18"/>
                <w:szCs w:val="18"/>
              </w:rPr>
            </w:pPr>
            <w:r w:rsidRPr="562BA290">
              <w:rPr>
                <w:rFonts w:ascii="Arial" w:hAnsi="Arial" w:cs="Arial"/>
                <w:color w:val="00ABE6"/>
                <w:sz w:val="18"/>
                <w:szCs w:val="18"/>
              </w:rPr>
              <w:t>$</w:t>
            </w:r>
            <w:r w:rsidR="001F2D69">
              <w:rPr>
                <w:rFonts w:ascii="Arial" w:hAnsi="Arial" w:cs="Arial"/>
                <w:color w:val="00ABE6"/>
                <w:sz w:val="18"/>
                <w:szCs w:val="18"/>
              </w:rPr>
              <w:t>16.0</w:t>
            </w:r>
            <w:r w:rsidRPr="005F0BF3">
              <w:rPr>
                <w:rFonts w:ascii="Arial" w:hAnsi="Arial" w:cs="Arial"/>
                <w:color w:val="00ABE6"/>
                <w:sz w:val="18"/>
                <w:szCs w:val="18"/>
              </w:rPr>
              <w:t xml:space="preserve"> </w:t>
            </w:r>
            <w:r w:rsidRPr="562BA290">
              <w:rPr>
                <w:rFonts w:ascii="Arial" w:hAnsi="Arial" w:cs="Arial"/>
                <w:color w:val="00ABE6"/>
                <w:sz w:val="18"/>
                <w:szCs w:val="18"/>
              </w:rPr>
              <w:t>million</w:t>
            </w:r>
          </w:p>
        </w:tc>
        <w:tc>
          <w:tcPr>
            <w:tcW w:w="1809" w:type="pct"/>
            <w:shd w:val="clear" w:color="auto" w:fill="F2F2F2" w:themeFill="background1" w:themeFillShade="F2"/>
            <w:vAlign w:val="center"/>
          </w:tcPr>
          <w:p w14:paraId="0F01BC06" w14:textId="77777777" w:rsidR="00AE5092" w:rsidRPr="00F8244B" w:rsidRDefault="00AE5092" w:rsidP="00E32DE6">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47E1109C" w14:textId="77777777" w:rsidR="00AE5092" w:rsidRPr="003A0DAC" w:rsidRDefault="00AE5092" w:rsidP="00BD4260">
      <w:pPr>
        <w:pStyle w:val="Heading3"/>
        <w:spacing w:before="240" w:after="100"/>
        <w:rPr>
          <w:rFonts w:ascii="Arial" w:hAnsi="Arial" w:cs="Arial"/>
        </w:rPr>
      </w:pPr>
      <w:r w:rsidRPr="003A0DAC">
        <w:rPr>
          <w:rFonts w:ascii="Arial" w:hAnsi="Arial" w:cs="Arial"/>
        </w:rPr>
        <w:t>State Outcome overview and 2020-21 investment</w:t>
      </w:r>
    </w:p>
    <w:p w14:paraId="664B7453" w14:textId="72859477" w:rsidR="00F67C09" w:rsidRPr="0035164E" w:rsidRDefault="00F851FB" w:rsidP="004052A2">
      <w:pPr>
        <w:pStyle w:val="BodyText"/>
      </w:pPr>
      <w:r w:rsidRPr="0035164E">
        <w:t xml:space="preserve">Led </w:t>
      </w:r>
      <w:bookmarkEnd w:id="7"/>
      <w:r w:rsidRPr="0035164E">
        <w:t xml:space="preserve">by Local Land Services (LLS), this </w:t>
      </w:r>
      <w:r w:rsidR="00212852">
        <w:t>O</w:t>
      </w:r>
      <w:r w:rsidRPr="0035164E">
        <w:t xml:space="preserve">utcome’s focus is to </w:t>
      </w:r>
      <w:r w:rsidR="00F67C09" w:rsidRPr="0035164E">
        <w:t>enhanc</w:t>
      </w:r>
      <w:r w:rsidRPr="0035164E">
        <w:t>e</w:t>
      </w:r>
      <w:r w:rsidR="00F67C09" w:rsidRPr="0035164E">
        <w:t xml:space="preserve"> the use of </w:t>
      </w:r>
      <w:r w:rsidR="00EC1918" w:rsidRPr="0035164E">
        <w:t xml:space="preserve">the State’s </w:t>
      </w:r>
      <w:r w:rsidR="00F67C09" w:rsidRPr="0035164E">
        <w:t>public and private lands, through supporting their sustainability, use and productivity.</w:t>
      </w:r>
      <w:r w:rsidR="00D87ED8" w:rsidRPr="0035164E">
        <w:t xml:space="preserve"> This is achieved by providing on-ground and frontline support to land managers.</w:t>
      </w:r>
      <w:r w:rsidR="00F67C09" w:rsidRPr="0035164E">
        <w:t xml:space="preserve"> </w:t>
      </w:r>
      <w:r w:rsidR="00565259">
        <w:t>Everyone</w:t>
      </w:r>
      <w:r w:rsidR="0035316E">
        <w:t xml:space="preserve"> in </w:t>
      </w:r>
      <w:r w:rsidR="00EC1918" w:rsidRPr="0035164E">
        <w:t xml:space="preserve">New South Wales </w:t>
      </w:r>
      <w:r w:rsidR="002A067B" w:rsidRPr="0035164E">
        <w:t xml:space="preserve">will benefit from well managed access to, and use of, natural resources that maximise economic opportunities in a safe and sustainable way. </w:t>
      </w:r>
    </w:p>
    <w:p w14:paraId="3C868146" w14:textId="7B56A8A0" w:rsidR="00AE5092" w:rsidRPr="00C17A72" w:rsidRDefault="00AE5092" w:rsidP="00BD4260">
      <w:pPr>
        <w:pStyle w:val="Heading3"/>
        <w:spacing w:before="240" w:after="100"/>
        <w:rPr>
          <w:rFonts w:ascii="Arial" w:hAnsi="Arial" w:cs="Arial"/>
        </w:rPr>
      </w:pPr>
      <w:r w:rsidRPr="00C17A72">
        <w:rPr>
          <w:rFonts w:ascii="Arial" w:hAnsi="Arial" w:cs="Arial"/>
        </w:rPr>
        <w:t xml:space="preserve">2020-21 </w:t>
      </w:r>
      <w:r w:rsidR="00825F4B">
        <w:rPr>
          <w:rFonts w:ascii="Arial" w:hAnsi="Arial" w:cs="Arial"/>
        </w:rPr>
        <w:t xml:space="preserve">State Outcome </w:t>
      </w:r>
      <w:r w:rsidRPr="00C17A72">
        <w:rPr>
          <w:rFonts w:ascii="Arial" w:hAnsi="Arial" w:cs="Arial"/>
        </w:rPr>
        <w:t xml:space="preserve">Budget </w:t>
      </w:r>
      <w:r w:rsidR="00212852">
        <w:rPr>
          <w:rFonts w:ascii="Arial" w:hAnsi="Arial" w:cs="Arial"/>
        </w:rPr>
        <w:t>h</w:t>
      </w:r>
      <w:r w:rsidRPr="00C17A72">
        <w:rPr>
          <w:rFonts w:ascii="Arial" w:hAnsi="Arial" w:cs="Arial"/>
        </w:rPr>
        <w:t xml:space="preserve">ighlights </w:t>
      </w:r>
    </w:p>
    <w:p w14:paraId="49C96F1E" w14:textId="1A26EB56" w:rsidR="00846E4B" w:rsidRPr="00111E98" w:rsidRDefault="562BA290" w:rsidP="004052A2">
      <w:pPr>
        <w:pStyle w:val="BodyText"/>
      </w:pPr>
      <w:r w:rsidRPr="562BA290">
        <w:t xml:space="preserve">In 2020-21, the Regional NSW </w:t>
      </w:r>
      <w:r w:rsidR="008E3560">
        <w:t>Cluster</w:t>
      </w:r>
      <w:r w:rsidRPr="562BA290">
        <w:t xml:space="preserve"> will invest $</w:t>
      </w:r>
      <w:r w:rsidR="00DA79D7" w:rsidDel="00147924">
        <w:t>392</w:t>
      </w:r>
      <w:r w:rsidR="00CC4490">
        <w:t>.4</w:t>
      </w:r>
      <w:r w:rsidR="005B26DB">
        <w:t xml:space="preserve"> </w:t>
      </w:r>
      <w:r w:rsidRPr="562BA290">
        <w:t>million ($</w:t>
      </w:r>
      <w:r w:rsidR="00DA79D7" w:rsidDel="00495C42">
        <w:t>376.4</w:t>
      </w:r>
      <w:r w:rsidR="00DD1542">
        <w:t xml:space="preserve"> </w:t>
      </w:r>
      <w:r w:rsidRPr="562BA290">
        <w:t>million recurrent expenses and $</w:t>
      </w:r>
      <w:r w:rsidR="00892E4B">
        <w:t>16.0</w:t>
      </w:r>
      <w:r w:rsidRPr="562BA290">
        <w:t xml:space="preserve"> million capital expenditure) in this </w:t>
      </w:r>
      <w:r w:rsidR="00212852">
        <w:t>O</w:t>
      </w:r>
      <w:r w:rsidRPr="562BA290">
        <w:t>utcome, including:</w:t>
      </w:r>
    </w:p>
    <w:p w14:paraId="4FB8A5F8" w14:textId="7E449BC8" w:rsidR="00846E4B" w:rsidRPr="00111E98" w:rsidRDefault="00846E4B" w:rsidP="004052A2">
      <w:pPr>
        <w:pStyle w:val="Bullet1"/>
      </w:pPr>
      <w:r w:rsidRPr="00111E98">
        <w:t>$128.1</w:t>
      </w:r>
      <w:r w:rsidR="00E87BF4" w:rsidRPr="00111E98">
        <w:t xml:space="preserve"> </w:t>
      </w:r>
      <w:r w:rsidRPr="00111E98">
        <w:t>million to support private landholders to rebuild essential boundary fences destroyed by recent bushfires ($111.1</w:t>
      </w:r>
      <w:r w:rsidR="00E87BF4" w:rsidRPr="00111E98">
        <w:t xml:space="preserve"> </w:t>
      </w:r>
      <w:r w:rsidRPr="00111E98">
        <w:t>m</w:t>
      </w:r>
      <w:r w:rsidR="00E87BF4" w:rsidRPr="00111E98">
        <w:t>illion</w:t>
      </w:r>
      <w:r w:rsidRPr="00111E98">
        <w:t xml:space="preserve">) and to address </w:t>
      </w:r>
      <w:r w:rsidR="0A01F95E" w:rsidRPr="00111E98">
        <w:t>p</w:t>
      </w:r>
      <w:r w:rsidRPr="00111E98">
        <w:t>est</w:t>
      </w:r>
      <w:r w:rsidR="76C0A07E" w:rsidRPr="00111E98">
        <w:t>,</w:t>
      </w:r>
      <w:r w:rsidRPr="00111E98">
        <w:t xml:space="preserve"> </w:t>
      </w:r>
      <w:r w:rsidR="2CB06B27" w:rsidRPr="00111E98">
        <w:t>w</w:t>
      </w:r>
      <w:r w:rsidRPr="00111E98">
        <w:t>eed and animal welfare issues ($17.0</w:t>
      </w:r>
      <w:r w:rsidR="00E87BF4" w:rsidRPr="00111E98">
        <w:t xml:space="preserve"> </w:t>
      </w:r>
      <w:r w:rsidRPr="00111E98">
        <w:t>m</w:t>
      </w:r>
      <w:r w:rsidR="00E87BF4" w:rsidRPr="00111E98">
        <w:t>illion</w:t>
      </w:r>
      <w:r w:rsidRPr="00111E98">
        <w:t>) arising from the 2019-20 bushfires</w:t>
      </w:r>
    </w:p>
    <w:p w14:paraId="5872A69E" w14:textId="77777777" w:rsidR="00E3568E" w:rsidRPr="00960516" w:rsidRDefault="00E3568E" w:rsidP="004052A2">
      <w:pPr>
        <w:pStyle w:val="Bullet1"/>
      </w:pPr>
      <w:r w:rsidRPr="562BA290">
        <w:t xml:space="preserve">$77.5 million ($279.8 million expenses and $25.0 million capital over four years) for the conservation and restoration of natural and cultural resources, through conservation earthworks, river and coastal restoration and rehabilitation, emergency response, native vegetation management, and pest and weed control in alignment with the </w:t>
      </w:r>
      <w:r w:rsidRPr="562BA290">
        <w:rPr>
          <w:i/>
          <w:iCs/>
        </w:rPr>
        <w:t>Local Land Services Act 2013</w:t>
      </w:r>
    </w:p>
    <w:p w14:paraId="79C3ED49" w14:textId="6DA01BCE" w:rsidR="00846E4B" w:rsidRPr="00111E98" w:rsidRDefault="562BA290" w:rsidP="004052A2">
      <w:pPr>
        <w:pStyle w:val="Bullet1"/>
      </w:pPr>
      <w:r w:rsidRPr="562BA290">
        <w:t>$72.0 million ($237.8 million expenses and $14.7 million capital over four years) to protect the economy, environment and community from invasive species, and plant and animal biosecurity risks</w:t>
      </w:r>
    </w:p>
    <w:p w14:paraId="15C71EAE" w14:textId="1FC6CAD8" w:rsidR="00846E4B" w:rsidRPr="004962DE" w:rsidRDefault="562BA290" w:rsidP="004052A2">
      <w:pPr>
        <w:pStyle w:val="Bullet1"/>
      </w:pPr>
      <w:r w:rsidRPr="562BA290">
        <w:t xml:space="preserve">$47.9 million ($94.4 million expenses over four years) to deliver the </w:t>
      </w:r>
      <w:r w:rsidRPr="562BA290">
        <w:rPr>
          <w:i/>
          <w:iCs/>
        </w:rPr>
        <w:t>National Land Care Program</w:t>
      </w:r>
      <w:r w:rsidRPr="562BA290">
        <w:t xml:space="preserve"> and to partner with Landcare communities in New South Wales and Catchment Action NSW to conserve and fund our natural resource priorities arising from vegetation loss, soil degradation and pests, weeds and animals</w:t>
      </w:r>
    </w:p>
    <w:p w14:paraId="12F0C7AA" w14:textId="441D1077" w:rsidR="00846E4B" w:rsidRPr="00960516" w:rsidRDefault="00846E4B" w:rsidP="004052A2">
      <w:pPr>
        <w:pStyle w:val="Bullet1"/>
      </w:pPr>
      <w:r w:rsidRPr="004962DE">
        <w:t>$15.8</w:t>
      </w:r>
      <w:r w:rsidR="00E87BF4" w:rsidRPr="004962DE">
        <w:t xml:space="preserve"> </w:t>
      </w:r>
      <w:r w:rsidRPr="004962DE">
        <w:t>m</w:t>
      </w:r>
      <w:r w:rsidR="00E87BF4" w:rsidRPr="004962DE">
        <w:t>illion</w:t>
      </w:r>
      <w:r w:rsidRPr="004962DE">
        <w:t xml:space="preserve"> ($35.9 million expenses over two years) to extend the </w:t>
      </w:r>
      <w:r w:rsidRPr="004962DE">
        <w:rPr>
          <w:i/>
        </w:rPr>
        <w:t>NSW Border Wild Dog Exclusion Fence</w:t>
      </w:r>
      <w:r w:rsidRPr="004962DE">
        <w:t xml:space="preserve"> by 742</w:t>
      </w:r>
      <w:r w:rsidR="00FF3E2F" w:rsidRPr="004962DE">
        <w:t xml:space="preserve"> </w:t>
      </w:r>
      <w:r w:rsidR="0011702A">
        <w:t>k</w:t>
      </w:r>
      <w:r w:rsidR="00723B66">
        <w:t>m</w:t>
      </w:r>
      <w:r w:rsidR="00136D96" w:rsidRPr="0035164E">
        <w:t>.</w:t>
      </w:r>
    </w:p>
    <w:p w14:paraId="2D753C60" w14:textId="77777777" w:rsidR="00EA61A4" w:rsidRDefault="00EA61A4">
      <w:pPr>
        <w:rPr>
          <w:rFonts w:ascii="Arial" w:eastAsia="Times New Roman" w:hAnsi="Arial" w:cs="Arial"/>
          <w:b/>
          <w:kern w:val="28"/>
          <w:sz w:val="27"/>
          <w:szCs w:val="36"/>
        </w:rPr>
      </w:pPr>
      <w:r>
        <w:rPr>
          <w:rFonts w:ascii="Arial" w:hAnsi="Arial" w:cs="Arial"/>
        </w:rPr>
        <w:br w:type="page"/>
      </w:r>
    </w:p>
    <w:p w14:paraId="4F60978E" w14:textId="51F9E7E6" w:rsidR="002C3580" w:rsidRDefault="002C3580" w:rsidP="00BD4260">
      <w:pPr>
        <w:pStyle w:val="Heading3"/>
        <w:tabs>
          <w:tab w:val="left" w:pos="6960"/>
        </w:tabs>
        <w:spacing w:before="240" w:after="100"/>
        <w:rPr>
          <w:rFonts w:ascii="Arial" w:hAnsi="Arial" w:cs="Arial"/>
        </w:rPr>
      </w:pPr>
      <w:r w:rsidRPr="00DC6435">
        <w:rPr>
          <w:rFonts w:ascii="Arial" w:hAnsi="Arial" w:cs="Arial"/>
        </w:rPr>
        <w:lastRenderedPageBreak/>
        <w:t xml:space="preserve">Key performance insights </w:t>
      </w:r>
      <w:r w:rsidR="00F878B7">
        <w:rPr>
          <w:rFonts w:ascii="Arial" w:hAnsi="Arial" w:cs="Arial"/>
        </w:rPr>
        <w:tab/>
      </w:r>
    </w:p>
    <w:p w14:paraId="60BE3563" w14:textId="2711C0F1" w:rsidR="00C201E2" w:rsidRPr="00851A0D" w:rsidRDefault="00C201E2" w:rsidP="004052A2">
      <w:pPr>
        <w:pStyle w:val="BodyText"/>
      </w:pPr>
      <w:r w:rsidRPr="001E24D5">
        <w:t xml:space="preserve">This section provides analysis and insights on key Outcome Indicators for this State Outcome. </w:t>
      </w:r>
    </w:p>
    <w:p w14:paraId="24613B3D" w14:textId="5C5BF434" w:rsidR="00F878B7" w:rsidRPr="0035164E" w:rsidRDefault="00F878B7" w:rsidP="00F17BC3">
      <w:pPr>
        <w:pStyle w:val="Heading4"/>
      </w:pPr>
      <w:r w:rsidRPr="0035164E">
        <w:t xml:space="preserve">Increased land manager recommendation of Local Land Services </w:t>
      </w:r>
      <w:r w:rsidR="00CC7DDF">
        <w:t xml:space="preserve">(LLS) </w:t>
      </w:r>
      <w:r w:rsidRPr="0035164E">
        <w:t>for services relating to agricultural productivity and natural resource management</w:t>
      </w:r>
    </w:p>
    <w:p w14:paraId="2A479558" w14:textId="4D4A4DF4" w:rsidR="00C70CEC" w:rsidRDefault="00F878B7" w:rsidP="004052A2">
      <w:pPr>
        <w:pStyle w:val="BodyText"/>
      </w:pPr>
      <w:r w:rsidRPr="0761CF31">
        <w:t xml:space="preserve">This indicator </w:t>
      </w:r>
      <w:r w:rsidR="00A9274C">
        <w:t>measures</w:t>
      </w:r>
      <w:r w:rsidRPr="0761CF31">
        <w:t xml:space="preserve"> how LLS' services are valued and promoted by land managers</w:t>
      </w:r>
      <w:r w:rsidR="00A9274C">
        <w:t xml:space="preserve"> and highlights</w:t>
      </w:r>
      <w:r w:rsidRPr="0761CF31">
        <w:t xml:space="preserve"> which of</w:t>
      </w:r>
      <w:r w:rsidR="002415F3">
        <w:t xml:space="preserve"> the</w:t>
      </w:r>
      <w:r w:rsidRPr="0761CF31">
        <w:t xml:space="preserve"> LLS' services need improving and which are working well. </w:t>
      </w:r>
      <w:r w:rsidR="00BF6C5C">
        <w:t>A</w:t>
      </w:r>
      <w:r w:rsidRPr="0761CF31">
        <w:t xml:space="preserve"> net promoter score (NPS) is measured</w:t>
      </w:r>
      <w:r w:rsidR="007B7A85">
        <w:t xml:space="preserve"> with stakeholders</w:t>
      </w:r>
      <w:r w:rsidR="00CF7BC6">
        <w:t xml:space="preserve"> on an ongoing basis</w:t>
      </w:r>
      <w:r w:rsidRPr="0761CF31">
        <w:t xml:space="preserve">, with an annual target set of </w:t>
      </w:r>
      <w:proofErr w:type="gramStart"/>
      <w:r w:rsidR="00B20D0C">
        <w:t>a</w:t>
      </w:r>
      <w:proofErr w:type="gramEnd"/>
      <w:r w:rsidR="00B20D0C">
        <w:t xml:space="preserve"> NP</w:t>
      </w:r>
      <w:r w:rsidR="009B62B3">
        <w:t>S</w:t>
      </w:r>
      <w:r w:rsidR="00B20D0C">
        <w:t xml:space="preserve"> </w:t>
      </w:r>
      <w:r w:rsidR="00304008">
        <w:t xml:space="preserve">greater than </w:t>
      </w:r>
      <w:r w:rsidRPr="0761CF31">
        <w:t xml:space="preserve">82 per cent. The score is an indicator of the quality of </w:t>
      </w:r>
      <w:r w:rsidR="003A6092">
        <w:t xml:space="preserve">LLS’ </w:t>
      </w:r>
      <w:r w:rsidRPr="0761CF31">
        <w:t xml:space="preserve">engagement </w:t>
      </w:r>
      <w:r w:rsidR="003A6092">
        <w:t xml:space="preserve">with land managers </w:t>
      </w:r>
      <w:r w:rsidRPr="0761CF31">
        <w:t>and their likelihood to recommend engag</w:t>
      </w:r>
      <w:r w:rsidR="003A6092">
        <w:t xml:space="preserve">ing with LLS. </w:t>
      </w:r>
    </w:p>
    <w:p w14:paraId="430B9BAD" w14:textId="6681EBAA" w:rsidR="00F878B7" w:rsidRDefault="00F878B7" w:rsidP="004052A2">
      <w:pPr>
        <w:pStyle w:val="BodyText"/>
      </w:pPr>
      <w:r w:rsidRPr="0761CF31">
        <w:t>Generally, the NPS for LLS trends in the range 70</w:t>
      </w:r>
      <w:r w:rsidR="00C70CEC">
        <w:t xml:space="preserve"> to </w:t>
      </w:r>
      <w:r w:rsidRPr="0761CF31">
        <w:t>90 per cent</w:t>
      </w:r>
      <w:r w:rsidR="00C70CEC">
        <w:t xml:space="preserve"> and </w:t>
      </w:r>
      <w:r w:rsidRPr="0761CF31">
        <w:t xml:space="preserve">it was measured at 82 per cent in the 2019 calendar year. </w:t>
      </w:r>
      <w:r w:rsidR="00D3496A">
        <w:t xml:space="preserve">Performance against </w:t>
      </w:r>
      <w:r w:rsidR="00C70CEC">
        <w:t>t</w:t>
      </w:r>
      <w:r w:rsidRPr="0761CF31">
        <w:t xml:space="preserve">his indicator is </w:t>
      </w:r>
      <w:r w:rsidR="00796C1F">
        <w:t xml:space="preserve">expected </w:t>
      </w:r>
      <w:r w:rsidRPr="0761CF31">
        <w:t>to achiev</w:t>
      </w:r>
      <w:r w:rsidR="00C70CEC">
        <w:t xml:space="preserve">e </w:t>
      </w:r>
      <w:r w:rsidR="00660446">
        <w:t xml:space="preserve"> </w:t>
      </w:r>
      <w:r w:rsidRPr="0761CF31">
        <w:t xml:space="preserve"> </w:t>
      </w:r>
      <w:r w:rsidR="009C45F7">
        <w:t xml:space="preserve">the 2020 </w:t>
      </w:r>
      <w:r w:rsidRPr="0761CF31">
        <w:t xml:space="preserve">target, with 82 per cent forecast for </w:t>
      </w:r>
      <w:r w:rsidR="008053B2">
        <w:t xml:space="preserve">the </w:t>
      </w:r>
      <w:r w:rsidRPr="0761CF31">
        <w:t>2020</w:t>
      </w:r>
      <w:r w:rsidR="008053B2">
        <w:t xml:space="preserve"> calendar year</w:t>
      </w:r>
      <w:r w:rsidRPr="0761CF31">
        <w:t xml:space="preserve">. </w:t>
      </w:r>
    </w:p>
    <w:p w14:paraId="7E1EF8DB" w14:textId="50D48A14" w:rsidR="00D33A1E" w:rsidRPr="00F2275D" w:rsidRDefault="00D33A1E" w:rsidP="00C763D1">
      <w:pPr>
        <w:pStyle w:val="Chart4X"/>
        <w:tabs>
          <w:tab w:val="clear" w:pos="1134"/>
        </w:tabs>
        <w:ind w:left="1134" w:hanging="1134"/>
      </w:pPr>
      <w:r>
        <w:t>Increased</w:t>
      </w:r>
      <w:r w:rsidRPr="00F2275D">
        <w:t xml:space="preserve"> </w:t>
      </w:r>
      <w:r w:rsidR="00E17CB0">
        <w:t>l</w:t>
      </w:r>
      <w:r w:rsidRPr="00F2275D">
        <w:t xml:space="preserve">and manager recommendation of </w:t>
      </w:r>
      <w:r>
        <w:t>LLS for services relating to agricultural productivity and natural resource management</w:t>
      </w:r>
    </w:p>
    <w:p w14:paraId="72331EA1" w14:textId="66872FAE" w:rsidR="00F878B7" w:rsidRDefault="00FD70A9" w:rsidP="00C763D1">
      <w:pPr>
        <w:autoSpaceDE w:val="0"/>
        <w:autoSpaceDN w:val="0"/>
        <w:adjustRightInd w:val="0"/>
        <w:spacing w:after="0" w:line="240" w:lineRule="auto"/>
        <w:jc w:val="center"/>
        <w:rPr>
          <w:rFonts w:ascii="Arial" w:eastAsia="Times New Roman" w:hAnsi="Arial" w:cs="Arial"/>
          <w:b/>
          <w:color w:val="1F497D"/>
          <w:sz w:val="23"/>
          <w:szCs w:val="23"/>
        </w:rPr>
      </w:pPr>
      <w:r>
        <w:rPr>
          <w:noProof/>
          <w:lang w:eastAsia="en-AU"/>
        </w:rPr>
        <w:drawing>
          <wp:inline distT="0" distB="0" distL="0" distR="0" wp14:anchorId="45B18E17" wp14:editId="7B1558EA">
            <wp:extent cx="4826000" cy="2188925"/>
            <wp:effectExtent l="0" t="0" r="0" b="0"/>
            <wp:docPr id="5" name="Chart 5" descr="Chart 6.3: Increased land manager recommendation of LLS for services relating to agricultural productivity and natural resource management">
              <a:extLst xmlns:a="http://schemas.openxmlformats.org/drawingml/2006/main">
                <a:ext uri="{FF2B5EF4-FFF2-40B4-BE49-F238E27FC236}">
                  <a16:creationId xmlns:a16="http://schemas.microsoft.com/office/drawing/2014/main" id="{38577233-DE5F-41CB-B359-8226FC5CF3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D12D07" w14:textId="7DC9BB23" w:rsidR="00280FB4" w:rsidRPr="0035164E" w:rsidRDefault="00A124EE" w:rsidP="008D636E">
      <w:pPr>
        <w:pStyle w:val="Heading4"/>
      </w:pPr>
      <w:r w:rsidRPr="0035164E">
        <w:t xml:space="preserve">Increased engagement of land managers in </w:t>
      </w:r>
      <w:r w:rsidR="00565C2D">
        <w:t>Local Land Services (</w:t>
      </w:r>
      <w:r w:rsidRPr="0035164E">
        <w:t>LLS</w:t>
      </w:r>
      <w:r w:rsidR="00565C2D">
        <w:t>)</w:t>
      </w:r>
      <w:r w:rsidRPr="0035164E">
        <w:t xml:space="preserve"> programs relating to agricultural productivity and natural resource management </w:t>
      </w:r>
    </w:p>
    <w:p w14:paraId="0DD9D260" w14:textId="77777777" w:rsidR="0086357A" w:rsidRDefault="00F74AEE" w:rsidP="004052A2">
      <w:pPr>
        <w:pStyle w:val="BodyText"/>
      </w:pPr>
      <w:r>
        <w:t>This indicator t</w:t>
      </w:r>
      <w:r w:rsidR="00A124EE" w:rsidRPr="0035164E">
        <w:t xml:space="preserve">racks the output of programs that aim to enhance the use of </w:t>
      </w:r>
      <w:r w:rsidR="00BE5F1F">
        <w:t>the State’s</w:t>
      </w:r>
      <w:r w:rsidR="00BE5F1F" w:rsidRPr="0035164E">
        <w:t xml:space="preserve"> </w:t>
      </w:r>
      <w:r w:rsidR="00A124EE" w:rsidRPr="0035164E">
        <w:t>public and private lands.</w:t>
      </w:r>
      <w:r w:rsidR="00E6784C" w:rsidRPr="0035164E">
        <w:t xml:space="preserve"> </w:t>
      </w:r>
      <w:r w:rsidR="00A124EE" w:rsidRPr="0035164E">
        <w:t xml:space="preserve">Increased engagement in </w:t>
      </w:r>
      <w:r w:rsidR="00C6150C" w:rsidRPr="0035164E">
        <w:t>LLS</w:t>
      </w:r>
      <w:r w:rsidR="00A124EE" w:rsidRPr="0035164E">
        <w:t xml:space="preserve"> activities support land managers to better manage </w:t>
      </w:r>
      <w:r w:rsidR="00BE5F1F">
        <w:t>the State’s</w:t>
      </w:r>
      <w:r w:rsidR="00BE5F1F" w:rsidRPr="0035164E">
        <w:t xml:space="preserve"> </w:t>
      </w:r>
      <w:r w:rsidR="00A124EE" w:rsidRPr="0035164E">
        <w:t>natural resources, respond to biosecurity risks, and improve primary production in N</w:t>
      </w:r>
      <w:r w:rsidR="008C5248">
        <w:t xml:space="preserve">ew </w:t>
      </w:r>
      <w:r w:rsidR="00A124EE" w:rsidRPr="0035164E">
        <w:t>S</w:t>
      </w:r>
      <w:r w:rsidR="008C5248">
        <w:t xml:space="preserve">outh </w:t>
      </w:r>
      <w:r w:rsidR="00A124EE" w:rsidRPr="0035164E">
        <w:t>W</w:t>
      </w:r>
      <w:r w:rsidR="008C5248">
        <w:t>ales</w:t>
      </w:r>
      <w:r w:rsidR="00A124EE" w:rsidRPr="0035164E">
        <w:t>.</w:t>
      </w:r>
      <w:r w:rsidR="00A124EE" w:rsidRPr="00960516">
        <w:t xml:space="preserve"> </w:t>
      </w:r>
      <w:r w:rsidR="00A124EE" w:rsidRPr="0035164E">
        <w:t>Since 2014</w:t>
      </w:r>
      <w:r w:rsidR="00250C65" w:rsidRPr="0035164E">
        <w:t>,</w:t>
      </w:r>
      <w:r w:rsidR="00A124EE" w:rsidRPr="0035164E">
        <w:t xml:space="preserve"> </w:t>
      </w:r>
      <w:r w:rsidR="00C6150C" w:rsidRPr="0035164E">
        <w:t>LLS</w:t>
      </w:r>
      <w:r w:rsidR="00A124EE" w:rsidRPr="0035164E">
        <w:t xml:space="preserve"> has</w:t>
      </w:r>
      <w:r w:rsidR="00E6784C" w:rsidRPr="0035164E">
        <w:t xml:space="preserve"> </w:t>
      </w:r>
      <w:r w:rsidR="00A124EE" w:rsidRPr="0035164E">
        <w:t>undertaken 14,073 awareness raising and training events</w:t>
      </w:r>
      <w:r w:rsidR="00AF05A6">
        <w:t>,</w:t>
      </w:r>
      <w:r w:rsidR="00A124EE" w:rsidRPr="0035164E">
        <w:t xml:space="preserve"> and</w:t>
      </w:r>
      <w:r w:rsidR="00E6784C" w:rsidRPr="0035164E">
        <w:t xml:space="preserve"> </w:t>
      </w:r>
      <w:r w:rsidR="00A124EE" w:rsidRPr="0035164E">
        <w:t xml:space="preserve">engaged with 346,803 participants at those events. </w:t>
      </w:r>
    </w:p>
    <w:p w14:paraId="7BC9DD08" w14:textId="308F8B25" w:rsidR="00A124EE" w:rsidRDefault="00060C75" w:rsidP="004052A2">
      <w:pPr>
        <w:pStyle w:val="BodyText"/>
        <w:rPr>
          <w:szCs w:val="23"/>
        </w:rPr>
      </w:pPr>
      <w:r>
        <w:t>Maintaining p</w:t>
      </w:r>
      <w:r w:rsidR="001424F8">
        <w:t>erformance</w:t>
      </w:r>
      <w:r>
        <w:t xml:space="preserve"> levels</w:t>
      </w:r>
      <w:r w:rsidR="001424F8">
        <w:t xml:space="preserve"> against t</w:t>
      </w:r>
      <w:r w:rsidR="00A124EE" w:rsidRPr="0035164E">
        <w:t>h</w:t>
      </w:r>
      <w:r w:rsidR="00EF69A4" w:rsidRPr="0035164E">
        <w:t>is</w:t>
      </w:r>
      <w:r w:rsidR="00A124EE" w:rsidRPr="0035164E">
        <w:t xml:space="preserve"> indicator is challenging as landholder </w:t>
      </w:r>
      <w:r w:rsidR="00A124EE" w:rsidRPr="002C76E6">
        <w:t>participation rates at LLS events ha</w:t>
      </w:r>
      <w:r w:rsidR="00EF69A4" w:rsidRPr="002C76E6">
        <w:t>ve</w:t>
      </w:r>
      <w:r w:rsidR="00A124EE" w:rsidRPr="002C76E6">
        <w:t xml:space="preserve"> decreased due to the impacts of drought, fires, floods and </w:t>
      </w:r>
      <w:r w:rsidR="006F5280">
        <w:t xml:space="preserve">the </w:t>
      </w:r>
      <w:r w:rsidR="00A124EE" w:rsidRPr="002C76E6">
        <w:t>COVID-19</w:t>
      </w:r>
      <w:r w:rsidR="006F5280">
        <w:t xml:space="preserve"> pandemic</w:t>
      </w:r>
      <w:r w:rsidR="00A124EE" w:rsidRPr="002C76E6">
        <w:t>.</w:t>
      </w:r>
      <w:r w:rsidR="00F878B7" w:rsidRPr="002C76E6">
        <w:t xml:space="preserve"> </w:t>
      </w:r>
      <w:r w:rsidR="00F878B7" w:rsidRPr="002C76E6">
        <w:rPr>
          <w:szCs w:val="23"/>
        </w:rPr>
        <w:t>Rapid changes have been implemented to LLS service delivery</w:t>
      </w:r>
      <w:r w:rsidR="0052521C">
        <w:rPr>
          <w:szCs w:val="23"/>
        </w:rPr>
        <w:t>,</w:t>
      </w:r>
      <w:r w:rsidR="009E5095">
        <w:rPr>
          <w:szCs w:val="23"/>
        </w:rPr>
        <w:t xml:space="preserve"> such as online delivery o</w:t>
      </w:r>
      <w:r w:rsidR="00BD782A">
        <w:rPr>
          <w:szCs w:val="23"/>
        </w:rPr>
        <w:t>f training services and events,</w:t>
      </w:r>
      <w:r w:rsidR="00F878B7" w:rsidRPr="002C76E6">
        <w:rPr>
          <w:szCs w:val="23"/>
        </w:rPr>
        <w:t xml:space="preserve"> which has enabled continuity of services and support to landholders.</w:t>
      </w:r>
    </w:p>
    <w:p w14:paraId="7CEAE9FC" w14:textId="4DBF418C" w:rsidR="00D33A1E" w:rsidRDefault="00D33A1E">
      <w:pPr>
        <w:rPr>
          <w:rFonts w:ascii="Arial" w:eastAsia="Times New Roman" w:hAnsi="Arial" w:cs="Arial"/>
          <w:sz w:val="23"/>
          <w:szCs w:val="20"/>
        </w:rPr>
      </w:pPr>
      <w:r>
        <w:rPr>
          <w:rFonts w:ascii="Arial" w:eastAsia="Times New Roman" w:hAnsi="Arial" w:cs="Arial"/>
          <w:sz w:val="23"/>
          <w:szCs w:val="20"/>
        </w:rPr>
        <w:br w:type="page"/>
      </w:r>
    </w:p>
    <w:p w14:paraId="3A5B42D4" w14:textId="3C236A27" w:rsidR="00D33A1E" w:rsidRPr="00F2275D" w:rsidRDefault="00D33A1E" w:rsidP="00C763D1">
      <w:pPr>
        <w:pStyle w:val="Chart4X"/>
        <w:tabs>
          <w:tab w:val="clear" w:pos="1134"/>
          <w:tab w:val="clear" w:pos="1304"/>
        </w:tabs>
        <w:ind w:left="1134" w:hanging="1134"/>
      </w:pPr>
      <w:r w:rsidRPr="00F2275D">
        <w:lastRenderedPageBreak/>
        <w:t xml:space="preserve">Number of land managers engaged in </w:t>
      </w:r>
      <w:r>
        <w:t>LLS</w:t>
      </w:r>
      <w:r w:rsidRPr="00F2275D">
        <w:t xml:space="preserve"> programs relating to agricultural productivity and natural resource management</w:t>
      </w:r>
    </w:p>
    <w:p w14:paraId="7F387E40" w14:textId="41BB0D12" w:rsidR="00715BA9" w:rsidRDefault="00715BA9" w:rsidP="3DA6ADA2">
      <w:pPr>
        <w:spacing w:after="0" w:line="240" w:lineRule="auto"/>
        <w:rPr>
          <w:rFonts w:ascii="Arial" w:eastAsia="Times New Roman" w:hAnsi="Arial" w:cs="Arial"/>
          <w:color w:val="A6A6A6" w:themeColor="background1" w:themeShade="A6"/>
          <w:sz w:val="23"/>
          <w:szCs w:val="23"/>
        </w:rPr>
      </w:pPr>
    </w:p>
    <w:p w14:paraId="7E3F4BE1" w14:textId="1032DE21" w:rsidR="003F2A79" w:rsidRDefault="0082116A" w:rsidP="00C763D1">
      <w:pPr>
        <w:spacing w:after="0" w:line="240" w:lineRule="auto"/>
        <w:jc w:val="center"/>
        <w:rPr>
          <w:rFonts w:ascii="Arial" w:eastAsia="Times New Roman" w:hAnsi="Arial" w:cs="Arial"/>
          <w:color w:val="A6A6A6" w:themeColor="background1" w:themeShade="A6"/>
          <w:sz w:val="23"/>
          <w:szCs w:val="23"/>
        </w:rPr>
      </w:pPr>
      <w:r>
        <w:rPr>
          <w:noProof/>
          <w:lang w:eastAsia="en-AU"/>
        </w:rPr>
        <w:drawing>
          <wp:inline distT="0" distB="0" distL="0" distR="0" wp14:anchorId="0A805DE6" wp14:editId="69A5F5E8">
            <wp:extent cx="4826000" cy="2197100"/>
            <wp:effectExtent l="0" t="0" r="0" b="0"/>
            <wp:docPr id="6" name="Chart 6" descr="Chart 6.4: Number of land managers engaged in LLS programs relating to agricultural productivity and natural resource management">
              <a:extLst xmlns:a="http://schemas.openxmlformats.org/drawingml/2006/main">
                <a:ext uri="{FF2B5EF4-FFF2-40B4-BE49-F238E27FC236}">
                  <a16:creationId xmlns:a16="http://schemas.microsoft.com/office/drawing/2014/main" id="{238DD7E7-558F-4705-A51D-BDDBC5AECB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28CF08" w14:textId="21CA66C1" w:rsidR="00280FB4" w:rsidRPr="0035164E" w:rsidRDefault="00E61D08" w:rsidP="00686A43">
      <w:pPr>
        <w:pStyle w:val="Heading4"/>
      </w:pPr>
      <w:bookmarkStart w:id="8" w:name="_Hlk53132214"/>
      <w:r w:rsidRPr="0035164E">
        <w:t>Increased area of improved land manager practices relating to agricultural productivity and natural resource management over four years</w:t>
      </w:r>
    </w:p>
    <w:p w14:paraId="2D65AC4B" w14:textId="77777777" w:rsidR="0086357A" w:rsidRDefault="00F74AEE" w:rsidP="004052A2">
      <w:pPr>
        <w:pStyle w:val="BodyText"/>
      </w:pPr>
      <w:r w:rsidRPr="449AFB5B">
        <w:t>This indicator t</w:t>
      </w:r>
      <w:r w:rsidR="00417E28" w:rsidRPr="449AFB5B">
        <w:t xml:space="preserve">racks the output of programs </w:t>
      </w:r>
      <w:r w:rsidR="00EF69A4" w:rsidRPr="449AFB5B">
        <w:t>that aim</w:t>
      </w:r>
      <w:r w:rsidR="00417E28" w:rsidRPr="449AFB5B">
        <w:t xml:space="preserve"> to enhance the use of </w:t>
      </w:r>
      <w:r w:rsidR="00BE5F1F" w:rsidRPr="449AFB5B">
        <w:t xml:space="preserve">the State’s </w:t>
      </w:r>
      <w:r w:rsidR="00417E28" w:rsidRPr="449AFB5B">
        <w:t>public and private lands</w:t>
      </w:r>
      <w:r w:rsidR="00EF69A4" w:rsidRPr="449AFB5B">
        <w:t>.</w:t>
      </w:r>
      <w:r w:rsidR="00417E28" w:rsidRPr="449AFB5B">
        <w:t xml:space="preserve"> </w:t>
      </w:r>
      <w:r w:rsidR="00EF69A4" w:rsidRPr="449AFB5B">
        <w:t>The awareness raising and training events undertaken by LLS since 2014,</w:t>
      </w:r>
      <w:r w:rsidR="00552C89" w:rsidRPr="449AFB5B">
        <w:t xml:space="preserve"> in association with </w:t>
      </w:r>
      <w:r w:rsidR="00E6784C" w:rsidRPr="449AFB5B">
        <w:t xml:space="preserve">other </w:t>
      </w:r>
      <w:r w:rsidR="00552C89" w:rsidRPr="449AFB5B">
        <w:t>LLS</w:t>
      </w:r>
      <w:r w:rsidR="006572B1">
        <w:t xml:space="preserve"> e</w:t>
      </w:r>
      <w:r w:rsidR="00552C89" w:rsidRPr="449AFB5B">
        <w:t>ngagement processes and incentives</w:t>
      </w:r>
      <w:r w:rsidR="00EF69A4" w:rsidRPr="449AFB5B">
        <w:t>,</w:t>
      </w:r>
      <w:r w:rsidR="00552C89" w:rsidRPr="449AFB5B">
        <w:t xml:space="preserve"> have resulted in</w:t>
      </w:r>
      <w:r w:rsidR="00EF69A4" w:rsidRPr="449AFB5B">
        <w:t xml:space="preserve"> </w:t>
      </w:r>
      <w:r w:rsidR="00552C89" w:rsidRPr="449AFB5B">
        <w:t>land managers applying</w:t>
      </w:r>
      <w:r w:rsidR="006B08A0">
        <w:t xml:space="preserve"> a total</w:t>
      </w:r>
      <w:r w:rsidR="009D1ED7">
        <w:t xml:space="preserve"> of</w:t>
      </w:r>
      <w:r w:rsidR="00552C89" w:rsidRPr="449AFB5B">
        <w:t xml:space="preserve"> 126,159,486 hectares of improved agriculture and natural resource management practices over </w:t>
      </w:r>
      <w:r w:rsidR="000A6691" w:rsidRPr="449AFB5B">
        <w:t>four</w:t>
      </w:r>
      <w:r w:rsidR="00552C89" w:rsidRPr="449AFB5B">
        <w:t xml:space="preserve"> years (2015-18).</w:t>
      </w:r>
      <w:r w:rsidR="006432A0">
        <w:t xml:space="preserve"> </w:t>
      </w:r>
    </w:p>
    <w:p w14:paraId="4430B9FF" w14:textId="3A215FD1" w:rsidR="546C461F" w:rsidRDefault="002F260C" w:rsidP="004052A2">
      <w:pPr>
        <w:pStyle w:val="BodyText"/>
      </w:pPr>
      <w:r>
        <w:t>Maintaining</w:t>
      </w:r>
      <w:r w:rsidR="006432A0">
        <w:t xml:space="preserve"> </w:t>
      </w:r>
      <w:r>
        <w:t>p</w:t>
      </w:r>
      <w:r w:rsidR="006432A0">
        <w:t xml:space="preserve">erformance </w:t>
      </w:r>
      <w:r>
        <w:t>levels</w:t>
      </w:r>
      <w:r w:rsidR="006432A0">
        <w:t xml:space="preserve"> against t</w:t>
      </w:r>
      <w:r w:rsidR="00EF69A4" w:rsidRPr="449AFB5B">
        <w:t xml:space="preserve">his indicator is challenging due to the decreased landholder participation rates at LLS events as a result of drought, fires, floods and </w:t>
      </w:r>
      <w:r w:rsidR="002E4060">
        <w:t xml:space="preserve">the </w:t>
      </w:r>
      <w:r w:rsidR="00EF69A4" w:rsidRPr="449AFB5B">
        <w:t>COVID-19</w:t>
      </w:r>
      <w:r w:rsidR="002E4060">
        <w:t xml:space="preserve"> pandemic</w:t>
      </w:r>
      <w:r w:rsidR="00EF69A4" w:rsidRPr="449AFB5B">
        <w:t>.</w:t>
      </w:r>
      <w:bookmarkEnd w:id="8"/>
    </w:p>
    <w:p w14:paraId="2ABFFBC1" w14:textId="68EE297E" w:rsidR="00D33A1E" w:rsidRPr="00F2275D" w:rsidRDefault="00D33A1E" w:rsidP="00C763D1">
      <w:pPr>
        <w:pStyle w:val="Chart4X"/>
        <w:tabs>
          <w:tab w:val="clear" w:pos="1134"/>
          <w:tab w:val="clear" w:pos="1304"/>
        </w:tabs>
        <w:ind w:left="1134" w:hanging="1134"/>
      </w:pPr>
      <w:r w:rsidRPr="00F2275D">
        <w:t>Increased area of improved land manager practices relating to agriculture and natural resource management over four years</w:t>
      </w:r>
    </w:p>
    <w:p w14:paraId="59F1AC60" w14:textId="707E7E5C" w:rsidR="00D33A1E" w:rsidRDefault="00C40A92" w:rsidP="00C763D1">
      <w:pPr>
        <w:autoSpaceDE w:val="0"/>
        <w:autoSpaceDN w:val="0"/>
        <w:adjustRightInd w:val="0"/>
        <w:spacing w:after="0" w:line="240" w:lineRule="auto"/>
        <w:jc w:val="center"/>
        <w:rPr>
          <w:rFonts w:ascii="Arial" w:eastAsia="Times New Roman" w:hAnsi="Arial" w:cs="Arial"/>
          <w:sz w:val="23"/>
          <w:szCs w:val="20"/>
        </w:rPr>
      </w:pPr>
      <w:r>
        <w:rPr>
          <w:noProof/>
          <w:lang w:eastAsia="en-AU"/>
        </w:rPr>
        <w:drawing>
          <wp:inline distT="0" distB="0" distL="0" distR="0" wp14:anchorId="562B1008" wp14:editId="5B122875">
            <wp:extent cx="4794250" cy="2441575"/>
            <wp:effectExtent l="0" t="0" r="0" b="0"/>
            <wp:docPr id="16" name="Chart 16" descr="Chart 6.5: Increased area of improved land manager practices relating to agriculture and natural resource management over four years">
              <a:extLst xmlns:a="http://schemas.openxmlformats.org/drawingml/2006/main">
                <a:ext uri="{FF2B5EF4-FFF2-40B4-BE49-F238E27FC236}">
                  <a16:creationId xmlns:a16="http://schemas.microsoft.com/office/drawing/2014/main" id="{F2C5167A-90D3-43E6-9620-CA5E00F3A9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CDD4DC" w14:textId="77777777" w:rsidR="00D33A1E" w:rsidRDefault="00D33A1E" w:rsidP="002C3580">
      <w:pPr>
        <w:autoSpaceDE w:val="0"/>
        <w:autoSpaceDN w:val="0"/>
        <w:adjustRightInd w:val="0"/>
        <w:spacing w:after="0" w:line="240" w:lineRule="auto"/>
        <w:rPr>
          <w:rFonts w:ascii="Arial" w:eastAsia="Times New Roman" w:hAnsi="Arial" w:cs="Arial"/>
          <w:sz w:val="23"/>
          <w:szCs w:val="20"/>
        </w:rPr>
      </w:pPr>
    </w:p>
    <w:p w14:paraId="0F75F135" w14:textId="77777777" w:rsidR="00D33A1E" w:rsidRDefault="00D33A1E" w:rsidP="002C3580">
      <w:pPr>
        <w:autoSpaceDE w:val="0"/>
        <w:autoSpaceDN w:val="0"/>
        <w:adjustRightInd w:val="0"/>
        <w:spacing w:after="0" w:line="240" w:lineRule="auto"/>
        <w:rPr>
          <w:rFonts w:ascii="Arial" w:eastAsia="Times New Roman" w:hAnsi="Arial" w:cs="Arial"/>
          <w:sz w:val="23"/>
          <w:szCs w:val="20"/>
        </w:rPr>
      </w:pPr>
    </w:p>
    <w:p w14:paraId="05E3F77E" w14:textId="77777777" w:rsidR="00D33A1E" w:rsidRDefault="00D33A1E" w:rsidP="002C3580">
      <w:pPr>
        <w:autoSpaceDE w:val="0"/>
        <w:autoSpaceDN w:val="0"/>
        <w:adjustRightInd w:val="0"/>
        <w:spacing w:after="0" w:line="240" w:lineRule="auto"/>
        <w:rPr>
          <w:rFonts w:ascii="Arial" w:eastAsia="Times New Roman" w:hAnsi="Arial" w:cs="Arial"/>
          <w:sz w:val="23"/>
          <w:szCs w:val="20"/>
        </w:rPr>
      </w:pPr>
    </w:p>
    <w:p w14:paraId="5E40B878" w14:textId="77777777" w:rsidR="003F2A79" w:rsidRDefault="003F2A79" w:rsidP="002C3580">
      <w:pPr>
        <w:autoSpaceDE w:val="0"/>
        <w:autoSpaceDN w:val="0"/>
        <w:adjustRightInd w:val="0"/>
        <w:spacing w:after="0" w:line="240" w:lineRule="auto"/>
        <w:rPr>
          <w:rFonts w:ascii="Arial" w:eastAsia="Times New Roman" w:hAnsi="Arial" w:cs="Arial"/>
          <w:sz w:val="23"/>
          <w:szCs w:val="20"/>
        </w:rPr>
      </w:pPr>
    </w:p>
    <w:p w14:paraId="0925DF00" w14:textId="77777777" w:rsidR="00686A43" w:rsidRDefault="00686A43" w:rsidP="006B2C51">
      <w:pPr>
        <w:pStyle w:val="Heading3"/>
        <w:spacing w:before="240" w:after="100"/>
        <w:rPr>
          <w:rFonts w:ascii="Arial" w:hAnsi="Arial" w:cs="Arial"/>
        </w:rPr>
      </w:pPr>
      <w:r>
        <w:rPr>
          <w:rFonts w:ascii="Arial" w:hAnsi="Arial" w:cs="Arial"/>
        </w:rPr>
        <w:br w:type="page"/>
      </w:r>
    </w:p>
    <w:p w14:paraId="7766EE2E" w14:textId="3638A9FC" w:rsidR="002C3580" w:rsidRDefault="00BE0147" w:rsidP="006B2C51">
      <w:pPr>
        <w:pStyle w:val="Heading3"/>
        <w:spacing w:before="240" w:after="100"/>
        <w:rPr>
          <w:rFonts w:ascii="Arial" w:hAnsi="Arial" w:cs="Arial"/>
        </w:rPr>
      </w:pPr>
      <w:r>
        <w:rPr>
          <w:rFonts w:ascii="Arial" w:hAnsi="Arial" w:cs="Arial"/>
        </w:rPr>
        <w:lastRenderedPageBreak/>
        <w:t>P</w:t>
      </w:r>
      <w:r w:rsidR="002C3580">
        <w:rPr>
          <w:rFonts w:ascii="Arial" w:hAnsi="Arial" w:cs="Arial"/>
        </w:rPr>
        <w:t xml:space="preserve">erformance indicators for this </w:t>
      </w:r>
      <w:r w:rsidR="00C3421C">
        <w:rPr>
          <w:rFonts w:ascii="Arial" w:hAnsi="Arial" w:cs="Arial"/>
        </w:rPr>
        <w:t>O</w:t>
      </w:r>
      <w:r w:rsidR="002C3580">
        <w:rPr>
          <w:rFonts w:ascii="Arial" w:hAnsi="Arial" w:cs="Arial"/>
        </w:rPr>
        <w:t>utcome</w:t>
      </w:r>
    </w:p>
    <w:tbl>
      <w:tblPr>
        <w:tblW w:w="9639" w:type="dxa"/>
        <w:tblLook w:val="04A0" w:firstRow="1" w:lastRow="0" w:firstColumn="1" w:lastColumn="0" w:noHBand="0" w:noVBand="1"/>
        <w:tblCaption w:val="Performance indicators for this Outcome"/>
      </w:tblPr>
      <w:tblGrid>
        <w:gridCol w:w="6520"/>
        <w:gridCol w:w="737"/>
        <w:gridCol w:w="1191"/>
        <w:gridCol w:w="1191"/>
      </w:tblGrid>
      <w:tr w:rsidR="00D52588" w:rsidRPr="00BE4833" w14:paraId="2A68B126" w14:textId="77777777" w:rsidTr="002F57F0">
        <w:trPr>
          <w:trHeight w:val="283"/>
        </w:trPr>
        <w:tc>
          <w:tcPr>
            <w:tcW w:w="6520" w:type="dxa"/>
            <w:vMerge w:val="restart"/>
            <w:tcBorders>
              <w:top w:val="nil"/>
              <w:left w:val="nil"/>
              <w:bottom w:val="nil"/>
              <w:right w:val="nil"/>
            </w:tcBorders>
            <w:shd w:val="clear" w:color="auto" w:fill="00426F"/>
            <w:noWrap/>
            <w:vAlign w:val="center"/>
            <w:hideMark/>
          </w:tcPr>
          <w:p w14:paraId="57A3020A" w14:textId="77777777" w:rsidR="001276DB" w:rsidRPr="00BE4833" w:rsidRDefault="001276DB" w:rsidP="008A5337">
            <w:pPr>
              <w:spacing w:after="0" w:line="240" w:lineRule="auto"/>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23921DE4" w14:textId="77777777" w:rsidR="001276DB" w:rsidRPr="00BE4833" w:rsidRDefault="001276DB" w:rsidP="001276DB">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379168A7" w14:textId="77777777" w:rsidR="001276DB" w:rsidRPr="00BE4833" w:rsidRDefault="001276DB" w:rsidP="002F57F0">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6068AAAE" w14:textId="77777777" w:rsidR="001276DB" w:rsidRPr="00BE4833" w:rsidRDefault="001276DB" w:rsidP="002F57F0">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2020-21</w:t>
            </w:r>
          </w:p>
        </w:tc>
      </w:tr>
      <w:tr w:rsidR="001276DB" w:rsidRPr="00BE4833" w14:paraId="33D8E16C" w14:textId="77777777" w:rsidTr="002F57F0">
        <w:trPr>
          <w:trHeight w:val="283"/>
        </w:trPr>
        <w:tc>
          <w:tcPr>
            <w:tcW w:w="6520" w:type="dxa"/>
            <w:vMerge/>
            <w:shd w:val="clear" w:color="auto" w:fill="00426F"/>
            <w:vAlign w:val="center"/>
            <w:hideMark/>
          </w:tcPr>
          <w:p w14:paraId="0D60D3C7" w14:textId="77777777" w:rsidR="001276DB" w:rsidRPr="00BE4833" w:rsidRDefault="001276DB" w:rsidP="001276DB">
            <w:pPr>
              <w:spacing w:after="0" w:line="240" w:lineRule="auto"/>
              <w:rPr>
                <w:rFonts w:ascii="Arial" w:eastAsia="Times New Roman" w:hAnsi="Arial" w:cs="Arial"/>
                <w:b/>
                <w:bCs/>
                <w:color w:val="FFFFFF"/>
                <w:sz w:val="18"/>
                <w:szCs w:val="18"/>
                <w:lang w:eastAsia="en-AU"/>
              </w:rPr>
            </w:pPr>
          </w:p>
        </w:tc>
        <w:tc>
          <w:tcPr>
            <w:tcW w:w="737" w:type="dxa"/>
            <w:vMerge/>
            <w:shd w:val="clear" w:color="auto" w:fill="00426F"/>
            <w:vAlign w:val="center"/>
            <w:hideMark/>
          </w:tcPr>
          <w:p w14:paraId="56A92C05" w14:textId="77777777" w:rsidR="001276DB" w:rsidRPr="00BE4833" w:rsidRDefault="001276DB" w:rsidP="001276DB">
            <w:pPr>
              <w:spacing w:after="0" w:line="240" w:lineRule="auto"/>
              <w:rPr>
                <w:rFonts w:ascii="Arial" w:eastAsia="Times New Roman"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330A9488" w14:textId="77777777" w:rsidR="001276DB" w:rsidRPr="00BE4833" w:rsidRDefault="001276DB" w:rsidP="002F57F0">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37F101A5" w14:textId="77777777" w:rsidR="001276DB" w:rsidRPr="00BE4833" w:rsidRDefault="001276DB" w:rsidP="002F57F0">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Forecast</w:t>
            </w:r>
          </w:p>
        </w:tc>
      </w:tr>
      <w:tr w:rsidR="001276DB" w:rsidRPr="001276DB" w14:paraId="24150A37" w14:textId="77777777" w:rsidTr="002F57F0">
        <w:trPr>
          <w:trHeight w:val="45"/>
        </w:trPr>
        <w:tc>
          <w:tcPr>
            <w:tcW w:w="6520" w:type="dxa"/>
            <w:tcBorders>
              <w:top w:val="nil"/>
              <w:left w:val="nil"/>
              <w:bottom w:val="nil"/>
              <w:right w:val="nil"/>
            </w:tcBorders>
            <w:shd w:val="clear" w:color="auto" w:fill="auto"/>
            <w:noWrap/>
            <w:vAlign w:val="center"/>
            <w:hideMark/>
          </w:tcPr>
          <w:p w14:paraId="224CB4D8" w14:textId="77777777" w:rsidR="001276DB" w:rsidRPr="001276DB" w:rsidRDefault="001276DB" w:rsidP="001276DB">
            <w:pPr>
              <w:spacing w:after="0" w:line="240" w:lineRule="auto"/>
              <w:jc w:val="center"/>
              <w:rPr>
                <w:rFonts w:ascii="Arial" w:eastAsia="Times New Roman" w:hAnsi="Arial" w:cs="Arial"/>
                <w:b/>
                <w:bCs/>
                <w:color w:val="FFFFFF"/>
                <w:sz w:val="16"/>
                <w:szCs w:val="16"/>
                <w:lang w:eastAsia="en-AU"/>
              </w:rPr>
            </w:pPr>
          </w:p>
        </w:tc>
        <w:tc>
          <w:tcPr>
            <w:tcW w:w="737" w:type="dxa"/>
            <w:tcBorders>
              <w:top w:val="nil"/>
              <w:left w:val="nil"/>
              <w:bottom w:val="nil"/>
              <w:right w:val="nil"/>
            </w:tcBorders>
            <w:shd w:val="clear" w:color="auto" w:fill="auto"/>
            <w:noWrap/>
            <w:vAlign w:val="center"/>
            <w:hideMark/>
          </w:tcPr>
          <w:p w14:paraId="73C27651" w14:textId="77777777" w:rsidR="001276DB" w:rsidRPr="001276DB" w:rsidRDefault="001276DB" w:rsidP="001276DB">
            <w:pPr>
              <w:spacing w:after="0" w:line="240" w:lineRule="auto"/>
              <w:ind w:firstLineChars="100" w:firstLine="200"/>
              <w:rPr>
                <w:rFonts w:ascii="Times New Roman" w:eastAsia="Times New Roman" w:hAnsi="Times New Roman" w:cs="Times New Roman"/>
                <w:szCs w:val="20"/>
                <w:lang w:eastAsia="en-AU"/>
              </w:rPr>
            </w:pPr>
          </w:p>
        </w:tc>
        <w:tc>
          <w:tcPr>
            <w:tcW w:w="1191" w:type="dxa"/>
            <w:tcBorders>
              <w:top w:val="nil"/>
              <w:left w:val="nil"/>
              <w:bottom w:val="nil"/>
              <w:right w:val="nil"/>
            </w:tcBorders>
            <w:shd w:val="clear" w:color="auto" w:fill="auto"/>
            <w:noWrap/>
            <w:vAlign w:val="center"/>
            <w:hideMark/>
          </w:tcPr>
          <w:p w14:paraId="0641F5F1" w14:textId="77777777" w:rsidR="001276DB" w:rsidRPr="001276DB" w:rsidRDefault="001276DB" w:rsidP="001276DB">
            <w:pPr>
              <w:spacing w:after="0" w:line="240" w:lineRule="auto"/>
              <w:jc w:val="center"/>
              <w:rPr>
                <w:rFonts w:ascii="Times New Roman" w:eastAsia="Times New Roman" w:hAnsi="Times New Roman" w:cs="Times New Roman"/>
                <w:szCs w:val="20"/>
                <w:lang w:eastAsia="en-AU"/>
              </w:rPr>
            </w:pPr>
          </w:p>
        </w:tc>
        <w:tc>
          <w:tcPr>
            <w:tcW w:w="1191" w:type="dxa"/>
            <w:tcBorders>
              <w:top w:val="nil"/>
              <w:left w:val="nil"/>
              <w:bottom w:val="nil"/>
              <w:right w:val="nil"/>
            </w:tcBorders>
            <w:shd w:val="clear" w:color="auto" w:fill="auto"/>
            <w:noWrap/>
            <w:vAlign w:val="center"/>
            <w:hideMark/>
          </w:tcPr>
          <w:p w14:paraId="2B84E369" w14:textId="77777777" w:rsidR="001276DB" w:rsidRPr="001276DB" w:rsidRDefault="001276DB" w:rsidP="001276DB">
            <w:pPr>
              <w:spacing w:after="0" w:line="240" w:lineRule="auto"/>
              <w:jc w:val="center"/>
              <w:rPr>
                <w:rFonts w:ascii="Times New Roman" w:eastAsia="Times New Roman" w:hAnsi="Times New Roman" w:cs="Times New Roman"/>
                <w:szCs w:val="20"/>
                <w:lang w:eastAsia="en-AU"/>
              </w:rPr>
            </w:pPr>
          </w:p>
        </w:tc>
      </w:tr>
      <w:tr w:rsidR="001276DB" w:rsidRPr="001276DB" w14:paraId="12E25EC4" w14:textId="77777777" w:rsidTr="002F57F0">
        <w:trPr>
          <w:trHeight w:val="462"/>
        </w:trPr>
        <w:tc>
          <w:tcPr>
            <w:tcW w:w="6520" w:type="dxa"/>
            <w:tcBorders>
              <w:top w:val="nil"/>
              <w:left w:val="nil"/>
              <w:bottom w:val="nil"/>
              <w:right w:val="nil"/>
            </w:tcBorders>
            <w:shd w:val="clear" w:color="auto" w:fill="auto"/>
            <w:vAlign w:val="bottom"/>
            <w:hideMark/>
          </w:tcPr>
          <w:p w14:paraId="56359601" w14:textId="77777777" w:rsidR="001276DB" w:rsidRPr="001276DB" w:rsidRDefault="001276DB" w:rsidP="002F57F0">
            <w:pPr>
              <w:spacing w:after="0" w:line="240" w:lineRule="auto"/>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Increased area of improved land manager practices relating to agriculture and natural resource management over four years</w:t>
            </w:r>
            <w:r w:rsidRPr="001276DB">
              <w:rPr>
                <w:rFonts w:ascii="Arial" w:eastAsia="Times New Roman" w:hAnsi="Arial"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60C87CC7" w14:textId="3D1D6B6F" w:rsidR="001276DB" w:rsidRPr="001276DB" w:rsidRDefault="00926B5F" w:rsidP="002F57F0">
            <w:pPr>
              <w:spacing w:after="0" w:line="240" w:lineRule="auto"/>
              <w:jc w:val="center"/>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Ha</w:t>
            </w:r>
            <w:r w:rsidR="001276DB" w:rsidRPr="001276DB">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0667C506" w14:textId="4F0E48EB" w:rsidR="001276DB" w:rsidRPr="001276DB" w:rsidRDefault="001276DB" w:rsidP="00904865">
            <w:pPr>
              <w:spacing w:after="0" w:line="240" w:lineRule="auto"/>
              <w:ind w:right="170"/>
              <w:jc w:val="right"/>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 xml:space="preserve"> 19,895,367 </w:t>
            </w:r>
          </w:p>
        </w:tc>
        <w:tc>
          <w:tcPr>
            <w:tcW w:w="1191" w:type="dxa"/>
            <w:tcBorders>
              <w:top w:val="nil"/>
              <w:left w:val="nil"/>
              <w:bottom w:val="nil"/>
              <w:right w:val="nil"/>
            </w:tcBorders>
            <w:shd w:val="clear" w:color="auto" w:fill="auto"/>
            <w:noWrap/>
            <w:vAlign w:val="bottom"/>
            <w:hideMark/>
          </w:tcPr>
          <w:p w14:paraId="55FE2BC7" w14:textId="77777777" w:rsidR="001276DB" w:rsidRPr="001276DB" w:rsidRDefault="001276DB" w:rsidP="00904865">
            <w:pPr>
              <w:spacing w:after="0" w:line="240" w:lineRule="auto"/>
              <w:ind w:right="170"/>
              <w:jc w:val="right"/>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20,000,000</w:t>
            </w:r>
          </w:p>
        </w:tc>
      </w:tr>
      <w:tr w:rsidR="001276DB" w:rsidRPr="001276DB" w14:paraId="53CCF4F8" w14:textId="77777777" w:rsidTr="002F57F0">
        <w:trPr>
          <w:trHeight w:val="462"/>
        </w:trPr>
        <w:tc>
          <w:tcPr>
            <w:tcW w:w="6520" w:type="dxa"/>
            <w:tcBorders>
              <w:top w:val="nil"/>
              <w:left w:val="nil"/>
              <w:bottom w:val="nil"/>
              <w:right w:val="nil"/>
            </w:tcBorders>
            <w:shd w:val="clear" w:color="auto" w:fill="auto"/>
            <w:vAlign w:val="bottom"/>
            <w:hideMark/>
          </w:tcPr>
          <w:p w14:paraId="115A4725" w14:textId="75455236" w:rsidR="001276DB" w:rsidRPr="001276DB" w:rsidRDefault="001276DB" w:rsidP="002F57F0">
            <w:pPr>
              <w:spacing w:after="0" w:line="240" w:lineRule="auto"/>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 xml:space="preserve">Increased land manager recommendation of </w:t>
            </w:r>
            <w:r w:rsidR="00415476">
              <w:rPr>
                <w:rFonts w:ascii="Arial" w:eastAsia="Times New Roman" w:hAnsi="Arial" w:cs="Arial"/>
                <w:color w:val="000000"/>
                <w:sz w:val="16"/>
                <w:szCs w:val="16"/>
                <w:lang w:eastAsia="en-AU"/>
              </w:rPr>
              <w:t>LLS</w:t>
            </w:r>
            <w:r w:rsidRPr="001276DB">
              <w:rPr>
                <w:rFonts w:ascii="Arial" w:eastAsia="Times New Roman" w:hAnsi="Arial" w:cs="Arial"/>
                <w:color w:val="000000"/>
                <w:sz w:val="16"/>
                <w:szCs w:val="16"/>
                <w:lang w:eastAsia="en-AU"/>
              </w:rPr>
              <w:t xml:space="preserve"> to their friends for services relating to agricultural productivity and natural resource management</w:t>
            </w:r>
            <w:r w:rsidRPr="001276DB">
              <w:rPr>
                <w:rFonts w:ascii="Arial" w:eastAsia="Times New Roman" w:hAnsi="Arial"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4F6803EC" w14:textId="77777777" w:rsidR="001276DB" w:rsidRPr="001276DB" w:rsidRDefault="001276DB" w:rsidP="002F57F0">
            <w:pPr>
              <w:spacing w:after="0" w:line="240" w:lineRule="auto"/>
              <w:jc w:val="center"/>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646B5863" w14:textId="77777777" w:rsidR="001276DB" w:rsidRPr="001276DB" w:rsidRDefault="001276DB" w:rsidP="00904865">
            <w:pPr>
              <w:spacing w:after="0" w:line="240" w:lineRule="auto"/>
              <w:ind w:right="170"/>
              <w:jc w:val="right"/>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82.0</w:t>
            </w:r>
          </w:p>
        </w:tc>
        <w:tc>
          <w:tcPr>
            <w:tcW w:w="1191" w:type="dxa"/>
            <w:tcBorders>
              <w:top w:val="nil"/>
              <w:left w:val="nil"/>
              <w:bottom w:val="nil"/>
              <w:right w:val="nil"/>
            </w:tcBorders>
            <w:shd w:val="clear" w:color="auto" w:fill="auto"/>
            <w:noWrap/>
            <w:vAlign w:val="bottom"/>
            <w:hideMark/>
          </w:tcPr>
          <w:p w14:paraId="052ABE23" w14:textId="77777777" w:rsidR="001276DB" w:rsidRPr="001276DB" w:rsidRDefault="001276DB" w:rsidP="00904865">
            <w:pPr>
              <w:spacing w:after="0" w:line="240" w:lineRule="auto"/>
              <w:ind w:right="170"/>
              <w:jc w:val="right"/>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82.0</w:t>
            </w:r>
          </w:p>
        </w:tc>
      </w:tr>
      <w:tr w:rsidR="001276DB" w:rsidRPr="001276DB" w14:paraId="4E0F4D2C" w14:textId="77777777" w:rsidTr="002F57F0">
        <w:trPr>
          <w:trHeight w:val="469"/>
        </w:trPr>
        <w:tc>
          <w:tcPr>
            <w:tcW w:w="6520" w:type="dxa"/>
            <w:tcBorders>
              <w:top w:val="nil"/>
              <w:left w:val="nil"/>
              <w:bottom w:val="nil"/>
              <w:right w:val="nil"/>
            </w:tcBorders>
            <w:shd w:val="clear" w:color="auto" w:fill="auto"/>
            <w:vAlign w:val="bottom"/>
            <w:hideMark/>
          </w:tcPr>
          <w:p w14:paraId="78DEA708" w14:textId="7F6FE410" w:rsidR="001276DB" w:rsidRPr="001276DB" w:rsidRDefault="001276DB" w:rsidP="002F57F0">
            <w:pPr>
              <w:spacing w:after="0" w:line="240" w:lineRule="auto"/>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 xml:space="preserve">Increased engagement of land managers in </w:t>
            </w:r>
            <w:r w:rsidR="00415476">
              <w:rPr>
                <w:rFonts w:ascii="Arial" w:eastAsia="Times New Roman" w:hAnsi="Arial" w:cs="Arial"/>
                <w:color w:val="000000"/>
                <w:sz w:val="16"/>
                <w:szCs w:val="16"/>
                <w:lang w:eastAsia="en-AU"/>
              </w:rPr>
              <w:t>LLS</w:t>
            </w:r>
            <w:r w:rsidRPr="001276DB">
              <w:rPr>
                <w:rFonts w:ascii="Arial" w:eastAsia="Times New Roman" w:hAnsi="Arial" w:cs="Arial"/>
                <w:color w:val="000000"/>
                <w:sz w:val="16"/>
                <w:szCs w:val="16"/>
                <w:lang w:eastAsia="en-AU"/>
              </w:rPr>
              <w:t xml:space="preserve"> programs relating to agricultural productivity and natural resource management</w:t>
            </w:r>
            <w:r w:rsidRPr="001276DB">
              <w:rPr>
                <w:rFonts w:ascii="Arial" w:eastAsia="Times New Roman" w:hAnsi="Arial"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10BACF0D" w14:textId="77777777" w:rsidR="001276DB" w:rsidRPr="001276DB" w:rsidRDefault="001276DB" w:rsidP="002F57F0">
            <w:pPr>
              <w:spacing w:after="0" w:line="240" w:lineRule="auto"/>
              <w:jc w:val="center"/>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no.</w:t>
            </w:r>
          </w:p>
        </w:tc>
        <w:tc>
          <w:tcPr>
            <w:tcW w:w="1191" w:type="dxa"/>
            <w:tcBorders>
              <w:top w:val="nil"/>
              <w:left w:val="nil"/>
              <w:bottom w:val="nil"/>
              <w:right w:val="nil"/>
            </w:tcBorders>
            <w:shd w:val="clear" w:color="auto" w:fill="auto"/>
            <w:noWrap/>
            <w:vAlign w:val="bottom"/>
            <w:hideMark/>
          </w:tcPr>
          <w:p w14:paraId="69A5E3FC" w14:textId="77777777" w:rsidR="001276DB" w:rsidRPr="001276DB" w:rsidRDefault="001276DB" w:rsidP="00904865">
            <w:pPr>
              <w:spacing w:after="0" w:line="240" w:lineRule="auto"/>
              <w:ind w:right="170"/>
              <w:jc w:val="right"/>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49,848</w:t>
            </w:r>
          </w:p>
        </w:tc>
        <w:tc>
          <w:tcPr>
            <w:tcW w:w="1191" w:type="dxa"/>
            <w:tcBorders>
              <w:top w:val="nil"/>
              <w:left w:val="nil"/>
              <w:bottom w:val="nil"/>
              <w:right w:val="nil"/>
            </w:tcBorders>
            <w:shd w:val="clear" w:color="auto" w:fill="auto"/>
            <w:noWrap/>
            <w:vAlign w:val="bottom"/>
            <w:hideMark/>
          </w:tcPr>
          <w:p w14:paraId="1C283894" w14:textId="77777777" w:rsidR="001276DB" w:rsidRPr="001276DB" w:rsidRDefault="001276DB" w:rsidP="00904865">
            <w:pPr>
              <w:spacing w:after="0" w:line="240" w:lineRule="auto"/>
              <w:ind w:right="170"/>
              <w:jc w:val="right"/>
              <w:rPr>
                <w:rFonts w:ascii="Arial" w:eastAsia="Times New Roman" w:hAnsi="Arial" w:cs="Arial"/>
                <w:color w:val="000000"/>
                <w:sz w:val="16"/>
                <w:szCs w:val="16"/>
                <w:lang w:eastAsia="en-AU"/>
              </w:rPr>
            </w:pPr>
            <w:r w:rsidRPr="001276DB">
              <w:rPr>
                <w:rFonts w:ascii="Arial" w:eastAsia="Times New Roman" w:hAnsi="Arial" w:cs="Arial"/>
                <w:color w:val="000000"/>
                <w:sz w:val="16"/>
                <w:szCs w:val="16"/>
                <w:lang w:eastAsia="en-AU"/>
              </w:rPr>
              <w:t>50,000</w:t>
            </w:r>
          </w:p>
        </w:tc>
      </w:tr>
    </w:tbl>
    <w:p w14:paraId="35C3743C" w14:textId="77777777" w:rsidR="002F57F0" w:rsidRPr="002F57F0" w:rsidRDefault="002F57F0" w:rsidP="002F57F0">
      <w:pPr>
        <w:spacing w:after="0" w:line="240" w:lineRule="auto"/>
        <w:rPr>
          <w:rFonts w:ascii="Arial" w:hAnsi="Arial" w:cs="Arial"/>
          <w:sz w:val="6"/>
          <w:szCs w:val="6"/>
        </w:rPr>
      </w:pPr>
    </w:p>
    <w:p w14:paraId="5694DB02" w14:textId="159637D0" w:rsidR="002F57F0" w:rsidRPr="008E4126" w:rsidRDefault="002F57F0" w:rsidP="001276DB">
      <w:pPr>
        <w:spacing w:after="0" w:line="240" w:lineRule="auto"/>
        <w:rPr>
          <w:rFonts w:ascii="Arial" w:eastAsia="Times New Roman" w:hAnsi="Arial" w:cs="Arial"/>
          <w:color w:val="000000"/>
          <w:sz w:val="17"/>
          <w:szCs w:val="17"/>
          <w:lang w:eastAsia="en-AU"/>
        </w:rPr>
      </w:pPr>
      <w:r w:rsidRPr="008E4126">
        <w:rPr>
          <w:rFonts w:ascii="Arial" w:eastAsia="Times New Roman" w:hAnsi="Arial" w:cs="Arial"/>
          <w:color w:val="000000"/>
          <w:sz w:val="17"/>
          <w:szCs w:val="17"/>
          <w:lang w:eastAsia="en-AU"/>
        </w:rPr>
        <w:t>Note</w:t>
      </w:r>
    </w:p>
    <w:p w14:paraId="0AF07CD6" w14:textId="04C2A0D3" w:rsidR="002F57F0" w:rsidRPr="002F57F0" w:rsidRDefault="002F57F0" w:rsidP="002F57F0">
      <w:pPr>
        <w:spacing w:after="0" w:line="240" w:lineRule="auto"/>
        <w:ind w:left="357" w:hanging="357"/>
        <w:rPr>
          <w:rFonts w:ascii="Arial" w:eastAsia="Times New Roman" w:hAnsi="Arial" w:cs="Arial"/>
          <w:color w:val="000000"/>
          <w:sz w:val="17"/>
          <w:szCs w:val="17"/>
          <w:lang w:eastAsia="en-AU"/>
        </w:rPr>
      </w:pPr>
      <w:r w:rsidRPr="002F57F0">
        <w:rPr>
          <w:rFonts w:ascii="Arial" w:eastAsia="Times New Roman" w:hAnsi="Arial" w:cs="Arial"/>
          <w:color w:val="000000"/>
          <w:sz w:val="17"/>
          <w:szCs w:val="17"/>
          <w:lang w:eastAsia="en-AU"/>
        </w:rPr>
        <w:t xml:space="preserve">(a) </w:t>
      </w:r>
      <w:r>
        <w:rPr>
          <w:rFonts w:ascii="Arial" w:eastAsia="Times New Roman" w:hAnsi="Arial" w:cs="Arial"/>
          <w:color w:val="000000"/>
          <w:sz w:val="17"/>
          <w:szCs w:val="17"/>
          <w:lang w:eastAsia="en-AU"/>
        </w:rPr>
        <w:tab/>
      </w:r>
      <w:r w:rsidRPr="002F57F0">
        <w:rPr>
          <w:rFonts w:ascii="Arial" w:eastAsia="Times New Roman" w:hAnsi="Arial" w:cs="Arial"/>
          <w:color w:val="000000"/>
          <w:sz w:val="17"/>
          <w:szCs w:val="17"/>
          <w:lang w:eastAsia="en-AU"/>
        </w:rPr>
        <w:t>As this indicator is measured on a calendar year basis, 2019-20 actual data and 2020-21 forecast data in this table relates to the 2019 and 2020 calendar years respectively.</w:t>
      </w:r>
    </w:p>
    <w:p w14:paraId="56609C24" w14:textId="44D84865" w:rsidR="00846E4B" w:rsidRDefault="004F40EF">
      <w:pPr>
        <w:rPr>
          <w:rFonts w:ascii="Arial" w:hAnsi="Arial" w:cs="Arial"/>
        </w:rPr>
      </w:pPr>
      <w:r>
        <w:rPr>
          <w:rFonts w:ascii="Arial" w:hAnsi="Arial" w:cs="Arial"/>
        </w:rPr>
        <w:br w:type="page"/>
      </w:r>
    </w:p>
    <w:p w14:paraId="14331CE2" w14:textId="1F588F55" w:rsidR="007C5993" w:rsidRPr="00236331" w:rsidRDefault="005610BF" w:rsidP="00E7560B">
      <w:pPr>
        <w:pStyle w:val="11Heading2"/>
        <w:numPr>
          <w:ilvl w:val="1"/>
          <w:numId w:val="8"/>
        </w:numPr>
        <w:rPr>
          <w:rFonts w:cs="Arial"/>
        </w:rPr>
      </w:pPr>
      <w:r>
        <w:rPr>
          <w:rFonts w:cs="Arial"/>
        </w:rPr>
        <w:lastRenderedPageBreak/>
        <w:t xml:space="preserve">Outcome 2: </w:t>
      </w:r>
      <w:r w:rsidR="007C5993" w:rsidRPr="00236331">
        <w:rPr>
          <w:rFonts w:cs="Arial"/>
        </w:rPr>
        <w:t xml:space="preserve">Stronger </w:t>
      </w:r>
      <w:r w:rsidR="00F851FB">
        <w:rPr>
          <w:rFonts w:cs="Arial"/>
        </w:rPr>
        <w:t>p</w:t>
      </w:r>
      <w:r w:rsidR="007C5993" w:rsidRPr="00236331">
        <w:rPr>
          <w:rFonts w:cs="Arial"/>
        </w:rPr>
        <w:t xml:space="preserve">rimary </w:t>
      </w:r>
      <w:r w:rsidR="00963BA1">
        <w:rPr>
          <w:rFonts w:cs="Arial"/>
        </w:rPr>
        <w:t>i</w:t>
      </w:r>
      <w:r w:rsidR="007C5993" w:rsidRPr="00236331">
        <w:rPr>
          <w:rFonts w:cs="Arial"/>
        </w:rPr>
        <w:t>ndustries</w:t>
      </w:r>
    </w:p>
    <w:p w14:paraId="480CFEF2" w14:textId="77777777" w:rsidR="007C5993" w:rsidRPr="00236331" w:rsidRDefault="007C5993" w:rsidP="006B2C51">
      <w:pPr>
        <w:pStyle w:val="Heading3"/>
        <w:spacing w:before="240" w:after="100"/>
        <w:rPr>
          <w:rFonts w:ascii="Arial" w:hAnsi="Arial" w:cs="Arial"/>
        </w:rPr>
      </w:pPr>
      <w:r w:rsidRPr="003A0DAC">
        <w:rPr>
          <w:rFonts w:ascii="Arial" w:hAnsi="Arial" w:cs="Arial"/>
        </w:rPr>
        <w:t>State Outcome overview and 2020-21 investment</w:t>
      </w:r>
    </w:p>
    <w:tbl>
      <w:tblPr>
        <w:tblpPr w:leftFromText="180" w:rightFromText="180" w:vertAnchor="text" w:horzAnchor="margin" w:tblpXSpec="right" w:tblpY="188"/>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A00472" w:rsidRPr="00F8244B" w14:paraId="2CA69E8F" w14:textId="77777777" w:rsidTr="00730855">
        <w:trPr>
          <w:cantSplit/>
          <w:trHeight w:val="784"/>
        </w:trPr>
        <w:tc>
          <w:tcPr>
            <w:tcW w:w="1729" w:type="pct"/>
            <w:shd w:val="clear" w:color="auto" w:fill="F2F2F2" w:themeFill="background1" w:themeFillShade="F2"/>
            <w:vAlign w:val="center"/>
          </w:tcPr>
          <w:p w14:paraId="3DAEA1A5" w14:textId="77777777" w:rsidR="00A00472" w:rsidRPr="00F8244B" w:rsidRDefault="00A00472" w:rsidP="00A00472">
            <w:pPr>
              <w:spacing w:before="120" w:after="120"/>
              <w:rPr>
                <w:rFonts w:ascii="Arial" w:hAnsi="Arial" w:cs="Arial"/>
                <w:sz w:val="23"/>
                <w:szCs w:val="23"/>
              </w:rPr>
            </w:pPr>
            <w:r w:rsidRPr="00F8244B">
              <w:rPr>
                <w:rFonts w:ascii="Arial" w:hAnsi="Arial" w:cs="Arial"/>
                <w:noProof/>
                <w:lang w:eastAsia="en-AU"/>
              </w:rPr>
              <w:drawing>
                <wp:inline distT="0" distB="0" distL="0" distR="0" wp14:anchorId="270D693E" wp14:editId="488B2BEA">
                  <wp:extent cx="518160" cy="518160"/>
                  <wp:effectExtent l="0" t="0" r="0" b="0"/>
                  <wp:docPr id="12" name="Picture 12"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6F7C132D" w14:textId="3D0B0207" w:rsidR="00A00472" w:rsidRPr="003F2A79" w:rsidRDefault="562BA290" w:rsidP="00A00472">
            <w:pPr>
              <w:spacing w:before="120" w:after="120"/>
              <w:jc w:val="center"/>
              <w:rPr>
                <w:rFonts w:ascii="Arial" w:hAnsi="Arial" w:cs="Arial"/>
                <w:color w:val="00ABE6"/>
                <w:sz w:val="18"/>
                <w:szCs w:val="18"/>
              </w:rPr>
            </w:pPr>
            <w:r w:rsidRPr="003F2A79">
              <w:rPr>
                <w:rFonts w:ascii="Arial" w:hAnsi="Arial" w:cs="Arial"/>
                <w:color w:val="00ABE6"/>
                <w:sz w:val="18"/>
                <w:szCs w:val="18"/>
              </w:rPr>
              <w:t>$</w:t>
            </w:r>
            <w:r w:rsidR="00503EC4" w:rsidRPr="00503EC4">
              <w:rPr>
                <w:rFonts w:ascii="Arial" w:hAnsi="Arial" w:cs="Arial"/>
                <w:color w:val="00ABE6"/>
                <w:sz w:val="18"/>
                <w:szCs w:val="18"/>
              </w:rPr>
              <w:t>596.5</w:t>
            </w:r>
            <w:r w:rsidRPr="003F2A79">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05F89632" w14:textId="77777777" w:rsidR="00A00472" w:rsidRPr="00F8244B" w:rsidRDefault="00A00472" w:rsidP="00A00472">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A00472" w:rsidRPr="00F8244B" w14:paraId="6454DF75" w14:textId="77777777" w:rsidTr="00730855">
        <w:trPr>
          <w:cantSplit/>
          <w:trHeight w:val="784"/>
        </w:trPr>
        <w:tc>
          <w:tcPr>
            <w:tcW w:w="1729" w:type="pct"/>
            <w:shd w:val="clear" w:color="auto" w:fill="F2F2F2" w:themeFill="background1" w:themeFillShade="F2"/>
            <w:vAlign w:val="center"/>
          </w:tcPr>
          <w:p w14:paraId="0F1D95BD" w14:textId="77777777" w:rsidR="00A00472" w:rsidRPr="00F8244B" w:rsidRDefault="00A00472" w:rsidP="00A00472">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1E209949" wp14:editId="63A540DC">
                  <wp:extent cx="525145" cy="525145"/>
                  <wp:effectExtent l="0" t="0" r="8255" b="8255"/>
                  <wp:docPr id="13" name="Picture 1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7D063991" w14:textId="739FA6BA" w:rsidR="00A00472" w:rsidRPr="003F2A79" w:rsidRDefault="562BA290" w:rsidP="00A00472">
            <w:pPr>
              <w:spacing w:before="120" w:after="120"/>
              <w:jc w:val="center"/>
              <w:rPr>
                <w:rFonts w:ascii="Arial" w:hAnsi="Arial" w:cs="Arial"/>
                <w:color w:val="00ABE6"/>
                <w:sz w:val="18"/>
                <w:szCs w:val="18"/>
              </w:rPr>
            </w:pPr>
            <w:r w:rsidRPr="003F2A79">
              <w:rPr>
                <w:rFonts w:ascii="Arial" w:hAnsi="Arial" w:cs="Arial"/>
                <w:color w:val="00ABE6"/>
                <w:sz w:val="18"/>
                <w:szCs w:val="18"/>
              </w:rPr>
              <w:t>$62.2 million</w:t>
            </w:r>
          </w:p>
        </w:tc>
        <w:tc>
          <w:tcPr>
            <w:tcW w:w="1809" w:type="pct"/>
            <w:shd w:val="clear" w:color="auto" w:fill="F2F2F2" w:themeFill="background1" w:themeFillShade="F2"/>
            <w:vAlign w:val="center"/>
          </w:tcPr>
          <w:p w14:paraId="72DB5B92" w14:textId="77777777" w:rsidR="00A00472" w:rsidRPr="00F8244B" w:rsidRDefault="00A00472" w:rsidP="00A00472">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1E6EF1CA" w14:textId="41A39530" w:rsidR="00A00472" w:rsidRPr="0035164E" w:rsidRDefault="00F851FB" w:rsidP="004052A2">
      <w:pPr>
        <w:pStyle w:val="BodyText"/>
      </w:pPr>
      <w:r w:rsidRPr="0035164E">
        <w:t xml:space="preserve">Led by the Department of Primary Industries (DPI), this </w:t>
      </w:r>
      <w:r w:rsidR="00EB782F">
        <w:t>O</w:t>
      </w:r>
      <w:r w:rsidRPr="0035164E">
        <w:t>utcome’s focus is on</w:t>
      </w:r>
      <w:r w:rsidR="00810A5E">
        <w:t xml:space="preserve"> the state’s</w:t>
      </w:r>
      <w:r w:rsidRPr="0035164E">
        <w:t xml:space="preserve"> primary industries</w:t>
      </w:r>
      <w:r w:rsidR="000A44CA">
        <w:t>’</w:t>
      </w:r>
      <w:r w:rsidRPr="0035164E">
        <w:t xml:space="preserve"> productivity, growth and ensuring the sector’s sustainability for the benefit of all citizens. </w:t>
      </w:r>
      <w:r w:rsidR="007C5993" w:rsidRPr="0035164E">
        <w:t xml:space="preserve">DPI plays a central role in the government’s commitment to regional </w:t>
      </w:r>
      <w:r w:rsidR="005521B5" w:rsidRPr="0035164E">
        <w:t xml:space="preserve">New South Wales </w:t>
      </w:r>
      <w:r w:rsidR="007C5993" w:rsidRPr="0035164E">
        <w:t xml:space="preserve">by driving a strong primary industries sector. Our commitment to innovation, safe and secure food supply and industry support and development programs, </w:t>
      </w:r>
      <w:r w:rsidR="00C25EFB">
        <w:t>delivered via an on</w:t>
      </w:r>
      <w:r w:rsidR="00A47EF8">
        <w:t>-</w:t>
      </w:r>
      <w:r w:rsidR="00C25EFB">
        <w:t>ground presence across the State, ensures food security and economic growth for the State</w:t>
      </w:r>
      <w:r w:rsidR="007C5993" w:rsidRPr="0035164E">
        <w:t>.</w:t>
      </w:r>
    </w:p>
    <w:p w14:paraId="01B43C2A" w14:textId="076A682F" w:rsidR="007C5993" w:rsidRPr="000101AC" w:rsidRDefault="007C5993" w:rsidP="006B2C51">
      <w:pPr>
        <w:pStyle w:val="Heading3"/>
        <w:spacing w:before="240" w:after="100"/>
        <w:rPr>
          <w:rFonts w:ascii="Arial" w:hAnsi="Arial" w:cs="Arial"/>
        </w:rPr>
      </w:pPr>
      <w:r w:rsidRPr="66201915">
        <w:rPr>
          <w:rFonts w:ascii="Arial" w:hAnsi="Arial" w:cs="Arial"/>
        </w:rPr>
        <w:t xml:space="preserve">2020-21 </w:t>
      </w:r>
      <w:r w:rsidR="008B22D7">
        <w:rPr>
          <w:rFonts w:ascii="Arial" w:hAnsi="Arial" w:cs="Arial"/>
        </w:rPr>
        <w:t xml:space="preserve">State Outcome </w:t>
      </w:r>
      <w:r w:rsidRPr="66201915">
        <w:rPr>
          <w:rFonts w:ascii="Arial" w:hAnsi="Arial" w:cs="Arial"/>
        </w:rPr>
        <w:t xml:space="preserve">Budget </w:t>
      </w:r>
      <w:r w:rsidR="00EC48C3">
        <w:rPr>
          <w:rFonts w:ascii="Arial" w:hAnsi="Arial" w:cs="Arial"/>
        </w:rPr>
        <w:t>h</w:t>
      </w:r>
      <w:r w:rsidRPr="66201915">
        <w:rPr>
          <w:rFonts w:ascii="Arial" w:hAnsi="Arial" w:cs="Arial"/>
        </w:rPr>
        <w:t xml:space="preserve">ighlights </w:t>
      </w:r>
    </w:p>
    <w:p w14:paraId="5AE9C423" w14:textId="287AD367" w:rsidR="009B22AC" w:rsidRPr="00960516" w:rsidRDefault="562BA290" w:rsidP="004052A2">
      <w:pPr>
        <w:pStyle w:val="BodyText"/>
      </w:pPr>
      <w:bookmarkStart w:id="9" w:name="_Hlk53152774"/>
      <w:r w:rsidRPr="562BA290">
        <w:t xml:space="preserve">In 2020-21, the Regional NSW </w:t>
      </w:r>
      <w:r w:rsidR="008E3560">
        <w:t>Cluster</w:t>
      </w:r>
      <w:r w:rsidRPr="562BA290">
        <w:t xml:space="preserve"> will invest $</w:t>
      </w:r>
      <w:r w:rsidR="00A468C2">
        <w:t>658</w:t>
      </w:r>
      <w:r w:rsidR="00FF134C">
        <w:t>.7</w:t>
      </w:r>
      <w:r w:rsidR="00E26483">
        <w:t xml:space="preserve"> million</w:t>
      </w:r>
      <w:r w:rsidRPr="562BA290">
        <w:t xml:space="preserve"> ($</w:t>
      </w:r>
      <w:r w:rsidR="00B42068" w:rsidRPr="00B42068">
        <w:t>596.5</w:t>
      </w:r>
      <w:r w:rsidRPr="562BA290">
        <w:t xml:space="preserve"> million recurrent expenses and $</w:t>
      </w:r>
      <w:r w:rsidR="00E26483">
        <w:t>62.2</w:t>
      </w:r>
      <w:r w:rsidRPr="562BA290">
        <w:t xml:space="preserve"> million capital expenditure) in this </w:t>
      </w:r>
      <w:r w:rsidR="00EC48C3">
        <w:t>O</w:t>
      </w:r>
      <w:r w:rsidRPr="562BA290">
        <w:t>utcome, including:</w:t>
      </w:r>
    </w:p>
    <w:bookmarkEnd w:id="9"/>
    <w:p w14:paraId="2EE21369" w14:textId="2962E602" w:rsidR="00111E98" w:rsidRPr="00426698" w:rsidRDefault="562BA290" w:rsidP="004052A2">
      <w:pPr>
        <w:pStyle w:val="Bullet1"/>
      </w:pPr>
      <w:r w:rsidRPr="562BA290">
        <w:t>$146.2 million ($278.8 million expenses and $0.2 million capital over four years) for continuing on-farm drought assistance measures, including transport subsidies, funding for emergency water carting for farms, waiving of interest charges on Farm Innovation Fund loans provided by the NSW Rural Assistance Authority and to build the skills of our current and future farmers</w:t>
      </w:r>
    </w:p>
    <w:p w14:paraId="7A67655E" w14:textId="4CAA5F5E" w:rsidR="00C25EFB" w:rsidRPr="00960516" w:rsidRDefault="00C25EFB" w:rsidP="004052A2">
      <w:pPr>
        <w:pStyle w:val="Bullet1"/>
      </w:pPr>
      <w:r w:rsidRPr="0035164E">
        <w:t>$1</w:t>
      </w:r>
      <w:r>
        <w:t>42.5</w:t>
      </w:r>
      <w:r w:rsidRPr="0035164E">
        <w:t xml:space="preserve"> million ($</w:t>
      </w:r>
      <w:r>
        <w:t>471.9</w:t>
      </w:r>
      <w:r w:rsidRPr="0035164E">
        <w:t xml:space="preserve"> million expenses and $</w:t>
      </w:r>
      <w:r>
        <w:t>4.8</w:t>
      </w:r>
      <w:r w:rsidRPr="0035164E">
        <w:t xml:space="preserve"> million capital over four years) to enable the sustainable growth of fishing and aquaculture through investment in research and </w:t>
      </w:r>
      <w:r w:rsidRPr="00AF355E">
        <w:t xml:space="preserve">protecting aquatic resources through licencing and compliance activities, including </w:t>
      </w:r>
      <w:r w:rsidR="00DF306D" w:rsidRPr="00AF355E">
        <w:t xml:space="preserve">an additional </w:t>
      </w:r>
      <w:r w:rsidRPr="00AF355E">
        <w:t>$28.3 million</w:t>
      </w:r>
      <w:r w:rsidR="00AD2227" w:rsidRPr="00AF355E">
        <w:t xml:space="preserve"> ($</w:t>
      </w:r>
      <w:r w:rsidR="00C15810" w:rsidRPr="00AF355E">
        <w:t>57.9</w:t>
      </w:r>
      <w:r w:rsidR="001D758F" w:rsidRPr="00AF355E">
        <w:t xml:space="preserve"> million expenses and $1.1 million capital over </w:t>
      </w:r>
      <w:r w:rsidR="0044189F" w:rsidRPr="00AF355E">
        <w:t>two years)</w:t>
      </w:r>
      <w:r w:rsidRPr="00AF355E">
        <w:t xml:space="preserve"> to deliver the Marine Estate Management Administration Strategy</w:t>
      </w:r>
    </w:p>
    <w:p w14:paraId="37A9D6C9" w14:textId="38D35DCC" w:rsidR="562BA290" w:rsidRDefault="562BA290" w:rsidP="004052A2">
      <w:pPr>
        <w:pStyle w:val="Bullet1"/>
        <w:rPr>
          <w:rFonts w:asciiTheme="minorHAnsi" w:eastAsiaTheme="minorEastAsia" w:hAnsiTheme="minorHAnsi" w:cstheme="minorBidi"/>
        </w:rPr>
      </w:pPr>
      <w:r w:rsidRPr="562BA290">
        <w:t xml:space="preserve">$140.1 million ($493.6 million expenses and $115.3 million capital over four years) to enhance productivity of plant and livestock </w:t>
      </w:r>
      <w:r w:rsidR="00E5769E">
        <w:t>farming systems whilst ensuring</w:t>
      </w:r>
      <w:r w:rsidR="007331B8">
        <w:t xml:space="preserve"> the sustainable use of agricultural resources</w:t>
      </w:r>
      <w:r w:rsidR="003E71C8">
        <w:t>,</w:t>
      </w:r>
      <w:r w:rsidRPr="562BA290">
        <w:t xml:space="preserve"> including capital investment of $11.6 million ($50.8 million over </w:t>
      </w:r>
      <w:r w:rsidR="00C838AB">
        <w:t>three</w:t>
      </w:r>
      <w:r w:rsidRPr="562BA290">
        <w:t xml:space="preserve"> years) in the State’s primary industries research and development (R&amp;D) infrastructure portfolio under the World Class Food and Fibre (WCFF) program</w:t>
      </w:r>
    </w:p>
    <w:p w14:paraId="4668CE18" w14:textId="0EE35549" w:rsidR="009B22AC" w:rsidRPr="00111E98" w:rsidRDefault="009B22AC" w:rsidP="004052A2">
      <w:pPr>
        <w:pStyle w:val="Bullet1"/>
      </w:pPr>
      <w:r w:rsidRPr="0035164E">
        <w:t>$</w:t>
      </w:r>
      <w:r w:rsidR="00EE77AA">
        <w:t>131.7</w:t>
      </w:r>
      <w:r w:rsidRPr="0035164E">
        <w:t xml:space="preserve"> million ($</w:t>
      </w:r>
      <w:r w:rsidR="00252377">
        <w:t>448.1</w:t>
      </w:r>
      <w:r w:rsidR="00586973">
        <w:t xml:space="preserve"> </w:t>
      </w:r>
      <w:r w:rsidRPr="0035164E">
        <w:t xml:space="preserve">million expenses over four years) to protect and promote biosecurity compliance for legislative responsibilities under the </w:t>
      </w:r>
      <w:r w:rsidRPr="0035164E">
        <w:rPr>
          <w:i/>
        </w:rPr>
        <w:t>Biosecurity Act 2015</w:t>
      </w:r>
      <w:r w:rsidR="00EB0876">
        <w:rPr>
          <w:i/>
        </w:rPr>
        <w:t xml:space="preserve"> </w:t>
      </w:r>
      <w:r w:rsidR="00D15A02">
        <w:rPr>
          <w:iCs/>
        </w:rPr>
        <w:t>(</w:t>
      </w:r>
      <w:proofErr w:type="spellStart"/>
      <w:r w:rsidR="00D15A02">
        <w:rPr>
          <w:iCs/>
        </w:rPr>
        <w:t>Cth</w:t>
      </w:r>
      <w:proofErr w:type="spellEnd"/>
      <w:r w:rsidR="00D15A02">
        <w:rPr>
          <w:iCs/>
        </w:rPr>
        <w:t>)</w:t>
      </w:r>
      <w:r w:rsidRPr="0035164E">
        <w:t xml:space="preserve"> (including invasive plants and animals), deliver legislative food safety requirements, safeguarding animal welfare</w:t>
      </w:r>
      <w:r w:rsidR="003F4AB8">
        <w:t>,</w:t>
      </w:r>
      <w:r w:rsidRPr="0035164E">
        <w:t xml:space="preserve"> and ensuring market access by undertaking biosecurity preparedness exercises, disaster response impact and assessments recovery advisory services</w:t>
      </w:r>
      <w:r w:rsidR="00C92967">
        <w:t>, including $19.1 million</w:t>
      </w:r>
      <w:r w:rsidR="00586973">
        <w:t xml:space="preserve"> ($43.5 million over two years)</w:t>
      </w:r>
      <w:r w:rsidR="00C92967">
        <w:t xml:space="preserve"> to </w:t>
      </w:r>
      <w:r w:rsidR="00C0493E">
        <w:t xml:space="preserve">bolster the delivery of the State’s biosecurity activities in combatting </w:t>
      </w:r>
      <w:r w:rsidR="00C92967">
        <w:t xml:space="preserve">pests, weeds and </w:t>
      </w:r>
      <w:r w:rsidR="00C25EFB">
        <w:t xml:space="preserve">plant and animal </w:t>
      </w:r>
      <w:r w:rsidR="00C92967">
        <w:t>disease</w:t>
      </w:r>
      <w:r w:rsidR="003B6619">
        <w:t>s</w:t>
      </w:r>
      <w:r w:rsidR="00C92967">
        <w:t xml:space="preserve"> in rural communities</w:t>
      </w:r>
    </w:p>
    <w:p w14:paraId="3CDFF6AE" w14:textId="47F64F9D" w:rsidR="009B22AC" w:rsidRPr="00960516" w:rsidRDefault="009B22AC" w:rsidP="004052A2">
      <w:pPr>
        <w:pStyle w:val="Bullet1"/>
      </w:pPr>
      <w:r w:rsidRPr="0035164E">
        <w:t xml:space="preserve">$21.0 million ($84.3 million expenses over four years) to lead policy, industry development, research and regulatory oversight as set out in the </w:t>
      </w:r>
      <w:r w:rsidRPr="0035164E">
        <w:rPr>
          <w:i/>
        </w:rPr>
        <w:t xml:space="preserve">Plantations and Reafforestation Act 1999 </w:t>
      </w:r>
      <w:r w:rsidRPr="0035164E">
        <w:t xml:space="preserve">and to undertake legislative requirements under the </w:t>
      </w:r>
      <w:r w:rsidRPr="0035164E">
        <w:rPr>
          <w:i/>
        </w:rPr>
        <w:t>Game and Feral Animal Control Act 2002</w:t>
      </w:r>
      <w:r w:rsidR="00A343AF" w:rsidRPr="0035164E">
        <w:t>.</w:t>
      </w:r>
    </w:p>
    <w:p w14:paraId="675F5EB1" w14:textId="77777777" w:rsidR="00DE4515" w:rsidRDefault="00DE4515" w:rsidP="006B2C51">
      <w:pPr>
        <w:pStyle w:val="Heading3"/>
        <w:spacing w:before="240" w:after="100"/>
        <w:rPr>
          <w:rFonts w:ascii="Arial" w:hAnsi="Arial" w:cs="Arial"/>
        </w:rPr>
      </w:pPr>
      <w:r>
        <w:rPr>
          <w:rFonts w:ascii="Arial" w:hAnsi="Arial" w:cs="Arial"/>
        </w:rPr>
        <w:br w:type="page"/>
      </w:r>
    </w:p>
    <w:p w14:paraId="18C7618E" w14:textId="2D81CB42" w:rsidR="00EB5B62" w:rsidRDefault="007C5993" w:rsidP="006B2C51">
      <w:pPr>
        <w:pStyle w:val="Heading3"/>
        <w:spacing w:before="240" w:after="100"/>
        <w:rPr>
          <w:rFonts w:ascii="Arial" w:hAnsi="Arial" w:cs="Arial"/>
        </w:rPr>
      </w:pPr>
      <w:r w:rsidRPr="00DC6435">
        <w:rPr>
          <w:rFonts w:ascii="Arial" w:hAnsi="Arial" w:cs="Arial"/>
        </w:rPr>
        <w:lastRenderedPageBreak/>
        <w:t>Key performance insights</w:t>
      </w:r>
    </w:p>
    <w:p w14:paraId="0B1B5E45" w14:textId="77777777" w:rsidR="00DD0BCF" w:rsidRPr="00851A0D" w:rsidRDefault="00DD0BCF" w:rsidP="004052A2">
      <w:pPr>
        <w:pStyle w:val="BodyText"/>
      </w:pPr>
      <w:r w:rsidRPr="001E24D5">
        <w:t xml:space="preserve">This section provides analysis and insights on key Outcome Indicators for this State Outcome. </w:t>
      </w:r>
    </w:p>
    <w:p w14:paraId="326519BF" w14:textId="74A16934" w:rsidR="00712796" w:rsidRPr="0035164E" w:rsidRDefault="004D3DEC" w:rsidP="00DE4515">
      <w:pPr>
        <w:pStyle w:val="Heading4"/>
      </w:pPr>
      <w:r w:rsidRPr="0035164E">
        <w:t>G</w:t>
      </w:r>
      <w:r w:rsidR="007C5993" w:rsidRPr="0035164E">
        <w:t>rowth in total primary industries output over 12 months</w:t>
      </w:r>
    </w:p>
    <w:p w14:paraId="0D2C0782" w14:textId="77777777" w:rsidR="00F95EE0" w:rsidRDefault="00FA0014" w:rsidP="004052A2">
      <w:pPr>
        <w:pStyle w:val="BodyText"/>
      </w:pPr>
      <w:r>
        <w:t>This indicator t</w:t>
      </w:r>
      <w:r w:rsidR="007C5993" w:rsidRPr="0035164E">
        <w:t xml:space="preserve">racks the output of programs </w:t>
      </w:r>
      <w:r w:rsidR="004D3DEC" w:rsidRPr="0035164E">
        <w:t>aimed at</w:t>
      </w:r>
      <w:r w:rsidR="007C5993" w:rsidRPr="0035164E">
        <w:t xml:space="preserve"> enhanc</w:t>
      </w:r>
      <w:r w:rsidR="004D3DEC" w:rsidRPr="0035164E">
        <w:t>ing</w:t>
      </w:r>
      <w:r w:rsidR="007C5993" w:rsidRPr="0035164E">
        <w:t xml:space="preserve"> the use of NSW’s primary industries, to support their sustainability, use and economic productivity. </w:t>
      </w:r>
      <w:r w:rsidR="004D3DEC" w:rsidRPr="0035164E">
        <w:t>It</w:t>
      </w:r>
      <w:r w:rsidR="007C5993" w:rsidRPr="0035164E">
        <w:t xml:space="preserve"> helps demonstrate the effect of programs on minimising volatility in the output of the sector</w:t>
      </w:r>
      <w:r w:rsidR="00F721DC" w:rsidRPr="0035164E">
        <w:t xml:space="preserve"> and</w:t>
      </w:r>
      <w:r w:rsidR="007C5993" w:rsidRPr="0035164E">
        <w:t xml:space="preserve"> ensure sustainability into the future. </w:t>
      </w:r>
    </w:p>
    <w:p w14:paraId="58B7F8F3" w14:textId="3003F5AD" w:rsidR="007C1DAF" w:rsidRPr="00AF355E" w:rsidRDefault="007C5993" w:rsidP="004052A2">
      <w:pPr>
        <w:pStyle w:val="BodyText"/>
      </w:pPr>
      <w:r w:rsidRPr="0035164E">
        <w:t>Total primary industries</w:t>
      </w:r>
      <w:r w:rsidR="000709AA" w:rsidRPr="0035164E">
        <w:t>’</w:t>
      </w:r>
      <w:r w:rsidRPr="0035164E">
        <w:t xml:space="preserve"> output </w:t>
      </w:r>
      <w:r w:rsidR="004D3DEC" w:rsidRPr="0035164E">
        <w:t>grew</w:t>
      </w:r>
      <w:r w:rsidRPr="0035164E">
        <w:t xml:space="preserve"> from </w:t>
      </w:r>
      <w:r w:rsidR="004D3DEC" w:rsidRPr="0035164E">
        <w:t xml:space="preserve">$15.4 billion in </w:t>
      </w:r>
      <w:r w:rsidRPr="0035164E">
        <w:t>2016-17 to $17.</w:t>
      </w:r>
      <w:r w:rsidR="008C77E2" w:rsidRPr="0035164E">
        <w:t>5</w:t>
      </w:r>
      <w:r w:rsidR="008C77E2">
        <w:t xml:space="preserve"> billion </w:t>
      </w:r>
      <w:r w:rsidR="004D3DEC" w:rsidRPr="0035164E">
        <w:t xml:space="preserve">in 2017-18, </w:t>
      </w:r>
      <w:r w:rsidR="004D3DEC" w:rsidRPr="00AB174C">
        <w:t>an increase</w:t>
      </w:r>
      <w:r w:rsidRPr="00AB174C">
        <w:t xml:space="preserve"> </w:t>
      </w:r>
      <w:r w:rsidR="004D3DEC" w:rsidRPr="00AB174C">
        <w:t>of</w:t>
      </w:r>
      <w:r w:rsidRPr="00AB174C">
        <w:t xml:space="preserve"> </w:t>
      </w:r>
      <w:r w:rsidR="00AB174C" w:rsidRPr="00AB174C">
        <w:t>13.6</w:t>
      </w:r>
      <w:r w:rsidR="00714A34" w:rsidRPr="00AB174C">
        <w:t xml:space="preserve"> per cent</w:t>
      </w:r>
      <w:r w:rsidR="006C7624" w:rsidRPr="00AB174C">
        <w:t>.</w:t>
      </w:r>
      <w:r w:rsidR="006C7624">
        <w:t xml:space="preserve"> D</w:t>
      </w:r>
      <w:r w:rsidR="00C25EFB">
        <w:t xml:space="preserve">espite the </w:t>
      </w:r>
      <w:r w:rsidR="006C7624">
        <w:t xml:space="preserve">recent </w:t>
      </w:r>
      <w:r w:rsidRPr="0035164E">
        <w:t>impacts of the severe drought</w:t>
      </w:r>
      <w:r w:rsidR="00C25EFB">
        <w:t xml:space="preserve">, output fell by </w:t>
      </w:r>
      <w:r w:rsidR="00E068FB">
        <w:t xml:space="preserve">only </w:t>
      </w:r>
      <w:r w:rsidR="00C25EFB">
        <w:t>just over 10</w:t>
      </w:r>
      <w:r w:rsidR="0026563D">
        <w:t xml:space="preserve"> per cent</w:t>
      </w:r>
      <w:r w:rsidR="00C25EFB">
        <w:t xml:space="preserve"> from 2017-18 to 2019-20, on the back of strong prices in </w:t>
      </w:r>
      <w:r w:rsidRPr="0035164E">
        <w:t xml:space="preserve">the </w:t>
      </w:r>
      <w:r w:rsidRPr="00AF355E">
        <w:t>livestock sector</w:t>
      </w:r>
      <w:r w:rsidR="00C25EFB" w:rsidRPr="00AF355E">
        <w:t>, a direct reflection of the quality and demand for NSW produce</w:t>
      </w:r>
      <w:r w:rsidRPr="00AF355E">
        <w:t xml:space="preserve">. </w:t>
      </w:r>
    </w:p>
    <w:p w14:paraId="5C1307A6" w14:textId="39DB5912" w:rsidR="00D33A1E" w:rsidRPr="00AF355E" w:rsidRDefault="00FA368C" w:rsidP="007C5993">
      <w:pPr>
        <w:autoSpaceDE w:val="0"/>
        <w:autoSpaceDN w:val="0"/>
        <w:adjustRightInd w:val="0"/>
        <w:spacing w:after="0" w:line="240" w:lineRule="auto"/>
        <w:rPr>
          <w:rFonts w:ascii="Arial" w:hAnsi="Arial" w:cs="Arial"/>
          <w:bCs/>
          <w:sz w:val="23"/>
          <w:szCs w:val="20"/>
        </w:rPr>
      </w:pPr>
      <w:r w:rsidRPr="00AF355E">
        <w:rPr>
          <w:rFonts w:ascii="Arial" w:hAnsi="Arial" w:cs="Arial"/>
          <w:bCs/>
          <w:sz w:val="23"/>
          <w:szCs w:val="20"/>
        </w:rPr>
        <w:t>Performance against t</w:t>
      </w:r>
      <w:r w:rsidR="00F03451" w:rsidRPr="00AF355E">
        <w:rPr>
          <w:rFonts w:ascii="Arial" w:hAnsi="Arial" w:cs="Arial"/>
          <w:bCs/>
          <w:sz w:val="23"/>
          <w:szCs w:val="20"/>
        </w:rPr>
        <w:t>his indicator is challenging due to the compounding impacts of drought, bushfires and COVID-19. However, an increase in annual output is forecast for 2020-21 with a return to improved seasonal conditions</w:t>
      </w:r>
      <w:r w:rsidR="00147E56">
        <w:rPr>
          <w:rFonts w:ascii="Arial" w:hAnsi="Arial" w:cs="Arial"/>
          <w:bCs/>
          <w:sz w:val="23"/>
          <w:szCs w:val="20"/>
        </w:rPr>
        <w:t>.</w:t>
      </w:r>
      <w:r w:rsidR="00720855">
        <w:rPr>
          <w:rFonts w:ascii="Arial" w:hAnsi="Arial" w:cs="Arial"/>
          <w:bCs/>
          <w:sz w:val="23"/>
          <w:szCs w:val="20"/>
        </w:rPr>
        <w:t xml:space="preserve"> The</w:t>
      </w:r>
      <w:r w:rsidR="00F03451" w:rsidRPr="00AF355E">
        <w:rPr>
          <w:rFonts w:ascii="Arial" w:hAnsi="Arial" w:cs="Arial"/>
          <w:bCs/>
          <w:sz w:val="23"/>
          <w:szCs w:val="20"/>
        </w:rPr>
        <w:t xml:space="preserve"> Government</w:t>
      </w:r>
      <w:r w:rsidR="00720855">
        <w:rPr>
          <w:rFonts w:ascii="Arial" w:hAnsi="Arial" w:cs="Arial"/>
          <w:bCs/>
          <w:sz w:val="23"/>
          <w:szCs w:val="20"/>
        </w:rPr>
        <w:t>’</w:t>
      </w:r>
      <w:r w:rsidR="00F03451" w:rsidRPr="00AF355E">
        <w:rPr>
          <w:rFonts w:ascii="Arial" w:hAnsi="Arial" w:cs="Arial"/>
          <w:bCs/>
          <w:sz w:val="23"/>
          <w:szCs w:val="20"/>
        </w:rPr>
        <w:t xml:space="preserve">s continued investment in primary industries ensuring producers </w:t>
      </w:r>
      <w:proofErr w:type="gramStart"/>
      <w:r w:rsidR="00F03451" w:rsidRPr="00AF355E">
        <w:rPr>
          <w:rFonts w:ascii="Arial" w:hAnsi="Arial" w:cs="Arial"/>
          <w:bCs/>
          <w:sz w:val="23"/>
          <w:szCs w:val="20"/>
        </w:rPr>
        <w:t>are able to</w:t>
      </w:r>
      <w:proofErr w:type="gramEnd"/>
      <w:r w:rsidR="00F03451" w:rsidRPr="00AF355E">
        <w:rPr>
          <w:rFonts w:ascii="Arial" w:hAnsi="Arial" w:cs="Arial"/>
          <w:bCs/>
          <w:sz w:val="23"/>
          <w:szCs w:val="20"/>
        </w:rPr>
        <w:t xml:space="preserve"> recover quicker and undertake the investment needed to remain competitive, so much so early forecast estimate output to reach record highs in 2020-21 if prices remain strong and seasonal conditions continue to improve.</w:t>
      </w:r>
    </w:p>
    <w:p w14:paraId="62B4DC41" w14:textId="116AC80A" w:rsidR="00D33A1E" w:rsidRPr="00F2275D" w:rsidRDefault="562BA290" w:rsidP="00C763D1">
      <w:pPr>
        <w:pStyle w:val="Chart4X"/>
        <w:ind w:left="1134" w:hanging="1134"/>
        <w:rPr>
          <w:color w:val="000000"/>
          <w:lang w:eastAsia="en-AU"/>
        </w:rPr>
      </w:pPr>
      <w:r w:rsidRPr="562BA290">
        <w:rPr>
          <w:lang w:eastAsia="en-AU"/>
        </w:rPr>
        <w:t xml:space="preserve"> Total primary industries output over 12 months</w:t>
      </w:r>
    </w:p>
    <w:p w14:paraId="3199510F" w14:textId="2207AD2C" w:rsidR="004D3DEC" w:rsidRPr="0035164E" w:rsidRDefault="00F86812" w:rsidP="00C763D1">
      <w:pPr>
        <w:autoSpaceDE w:val="0"/>
        <w:autoSpaceDN w:val="0"/>
        <w:adjustRightInd w:val="0"/>
        <w:spacing w:after="0" w:line="240" w:lineRule="auto"/>
        <w:jc w:val="center"/>
        <w:rPr>
          <w:rFonts w:ascii="Arial" w:eastAsia="Times New Roman" w:hAnsi="Arial" w:cs="Arial"/>
          <w:sz w:val="23"/>
          <w:szCs w:val="23"/>
        </w:rPr>
      </w:pPr>
      <w:r>
        <w:rPr>
          <w:noProof/>
          <w:lang w:eastAsia="en-AU"/>
        </w:rPr>
        <w:drawing>
          <wp:inline distT="0" distB="0" distL="0" distR="0" wp14:anchorId="03188B38" wp14:editId="60B07A45">
            <wp:extent cx="4794250" cy="2562225"/>
            <wp:effectExtent l="0" t="0" r="0" b="0"/>
            <wp:docPr id="19" name="Chart 19" descr="Chart 6.6:  Total primary industries output over 12 months">
              <a:extLst xmlns:a="http://schemas.openxmlformats.org/drawingml/2006/main">
                <a:ext uri="{FF2B5EF4-FFF2-40B4-BE49-F238E27FC236}">
                  <a16:creationId xmlns:a16="http://schemas.microsoft.com/office/drawing/2014/main" id="{3F2C5016-4A01-42E4-A7BE-89ABDF5E50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7615FE" w14:textId="129C4E3B" w:rsidR="00F86812" w:rsidRPr="002418BC" w:rsidRDefault="00A0736D" w:rsidP="00EA3B46">
      <w:pPr>
        <w:spacing w:after="0" w:line="240" w:lineRule="auto"/>
        <w:rPr>
          <w:rFonts w:ascii="Arial" w:eastAsia="Times New Roman" w:hAnsi="Arial" w:cs="Arial"/>
          <w:sz w:val="17"/>
          <w:szCs w:val="17"/>
        </w:rPr>
      </w:pPr>
      <w:r w:rsidRPr="002418BC">
        <w:rPr>
          <w:rFonts w:ascii="Arial" w:eastAsia="Times New Roman" w:hAnsi="Arial" w:cs="Arial"/>
          <w:sz w:val="17"/>
          <w:szCs w:val="17"/>
        </w:rPr>
        <w:t xml:space="preserve">Note: </w:t>
      </w:r>
      <w:r w:rsidR="0021535F" w:rsidRPr="002418BC">
        <w:rPr>
          <w:rFonts w:ascii="Arial" w:eastAsia="Times New Roman" w:hAnsi="Arial" w:cs="Arial"/>
          <w:sz w:val="17"/>
          <w:szCs w:val="17"/>
        </w:rPr>
        <w:t>A 2020-21 forecast is provided as well as the 2020-21 target.</w:t>
      </w:r>
    </w:p>
    <w:p w14:paraId="5CC5D7F1" w14:textId="77777777" w:rsidR="003F2A79" w:rsidRDefault="003F2A79" w:rsidP="00EA3B46"/>
    <w:p w14:paraId="11614FF2" w14:textId="63089EED" w:rsidR="00FA453F" w:rsidRPr="0035164E" w:rsidRDefault="00F721DC" w:rsidP="00EA3B46">
      <w:pPr>
        <w:pStyle w:val="Heading4"/>
      </w:pPr>
      <w:r w:rsidRPr="0035164E">
        <w:t>I</w:t>
      </w:r>
      <w:r w:rsidR="004D3DEC" w:rsidRPr="0035164E">
        <w:t>ncrease in stakeholder satisfaction</w:t>
      </w:r>
    </w:p>
    <w:p w14:paraId="0F2B7F38" w14:textId="0D590DB5" w:rsidR="00C37817" w:rsidRDefault="00FA0014" w:rsidP="004052A2">
      <w:pPr>
        <w:pStyle w:val="BodyText"/>
      </w:pPr>
      <w:r>
        <w:t>This indicator t</w:t>
      </w:r>
      <w:r w:rsidR="00D87ED8" w:rsidRPr="0035164E">
        <w:t>rack</w:t>
      </w:r>
      <w:r w:rsidR="00222D8D" w:rsidRPr="0035164E">
        <w:t>s</w:t>
      </w:r>
      <w:r w:rsidR="00645CA8" w:rsidRPr="0035164E">
        <w:t xml:space="preserve"> </w:t>
      </w:r>
      <w:r w:rsidR="00D87ED8" w:rsidRPr="0035164E">
        <w:t>s</w:t>
      </w:r>
      <w:r w:rsidR="004D3DEC" w:rsidRPr="0035164E">
        <w:t xml:space="preserve">takeholders experience when interacting with </w:t>
      </w:r>
      <w:r w:rsidR="000A3860">
        <w:t xml:space="preserve">the </w:t>
      </w:r>
      <w:r w:rsidR="00D91E69">
        <w:t>D</w:t>
      </w:r>
      <w:r w:rsidR="000A3860">
        <w:t xml:space="preserve">epartment of </w:t>
      </w:r>
      <w:r w:rsidR="00D91E69">
        <w:t>P</w:t>
      </w:r>
      <w:r w:rsidR="000A3860">
        <w:t xml:space="preserve">rimary </w:t>
      </w:r>
      <w:r w:rsidR="00D91E69">
        <w:t>I</w:t>
      </w:r>
      <w:r w:rsidR="000A3860">
        <w:t>ndustries (DPI)</w:t>
      </w:r>
      <w:r w:rsidR="00D87ED8" w:rsidRPr="0035164E">
        <w:t>.</w:t>
      </w:r>
      <w:r w:rsidR="004D3DEC" w:rsidRPr="0035164E">
        <w:t xml:space="preserve"> </w:t>
      </w:r>
      <w:r w:rsidR="00F721DC" w:rsidRPr="0035164E">
        <w:t>M</w:t>
      </w:r>
      <w:r w:rsidR="004D3DEC" w:rsidRPr="0035164E">
        <w:t xml:space="preserve">aximising connections with industries, communities and people </w:t>
      </w:r>
      <w:r w:rsidR="000A3860">
        <w:t xml:space="preserve">of New South Wales </w:t>
      </w:r>
      <w:r w:rsidR="004D3DEC" w:rsidRPr="0035164E">
        <w:t xml:space="preserve">is a key driver </w:t>
      </w:r>
      <w:r w:rsidR="000A3860">
        <w:t>in</w:t>
      </w:r>
      <w:r w:rsidR="004D3DEC" w:rsidRPr="0035164E">
        <w:t xml:space="preserve"> deliver</w:t>
      </w:r>
      <w:r w:rsidR="000A3860">
        <w:t>ing</w:t>
      </w:r>
      <w:r w:rsidR="004D3DEC" w:rsidRPr="0035164E">
        <w:t xml:space="preserve"> on DPI's </w:t>
      </w:r>
      <w:r w:rsidR="002341DC">
        <w:t>O</w:t>
      </w:r>
      <w:r w:rsidR="00D91E69">
        <w:t>utcome</w:t>
      </w:r>
      <w:r w:rsidR="00D91E69" w:rsidRPr="0035164E">
        <w:t xml:space="preserve"> </w:t>
      </w:r>
      <w:r w:rsidR="004D3DEC" w:rsidRPr="0035164E">
        <w:t xml:space="preserve">of stronger primary industries. </w:t>
      </w:r>
    </w:p>
    <w:p w14:paraId="5DAD137B" w14:textId="4FADC6F0" w:rsidR="00C37817" w:rsidRDefault="000A3860" w:rsidP="004052A2">
      <w:pPr>
        <w:pStyle w:val="BodyText"/>
        <w:rPr>
          <w:rFonts w:eastAsia="Times New Roman"/>
          <w:b/>
          <w:color w:val="000000"/>
          <w:sz w:val="17"/>
          <w:szCs w:val="17"/>
          <w:lang w:eastAsia="en-AU"/>
        </w:rPr>
      </w:pPr>
      <w:r w:rsidRPr="00E44287">
        <w:t xml:space="preserve">Performance against </w:t>
      </w:r>
      <w:r w:rsidRPr="00C37817">
        <w:t xml:space="preserve">this indicator </w:t>
      </w:r>
      <w:r w:rsidR="000E0278" w:rsidRPr="00C37817">
        <w:t xml:space="preserve">is </w:t>
      </w:r>
      <w:r w:rsidR="00E44287" w:rsidRPr="00C37817">
        <w:t>on track to meet the target.</w:t>
      </w:r>
      <w:r w:rsidR="004D3DEC" w:rsidRPr="00C37817">
        <w:t xml:space="preserve"> Concerted efforts to support industry stakeholders during </w:t>
      </w:r>
      <w:r w:rsidR="00CB415C" w:rsidRPr="00C37817">
        <w:t xml:space="preserve">the </w:t>
      </w:r>
      <w:r w:rsidR="004D3DEC" w:rsidRPr="00C37817">
        <w:t xml:space="preserve">COVID-19 </w:t>
      </w:r>
      <w:r w:rsidR="00CB415C" w:rsidRPr="00C37817">
        <w:t xml:space="preserve">pandemic </w:t>
      </w:r>
      <w:r w:rsidR="004D3DEC" w:rsidRPr="00C37817">
        <w:t xml:space="preserve">have shown </w:t>
      </w:r>
      <w:r w:rsidR="004D3DEC" w:rsidRPr="0035164E">
        <w:t>promising signs of strong satisfaction despite challenging conditions. As N</w:t>
      </w:r>
      <w:r w:rsidR="00CB415C">
        <w:t xml:space="preserve">ew </w:t>
      </w:r>
      <w:r w:rsidR="004D3DEC" w:rsidRPr="0035164E">
        <w:t>S</w:t>
      </w:r>
      <w:r w:rsidR="00CB415C">
        <w:t xml:space="preserve">outh </w:t>
      </w:r>
      <w:r w:rsidR="004D3DEC" w:rsidRPr="0035164E">
        <w:t>W</w:t>
      </w:r>
      <w:r w:rsidR="00CB415C">
        <w:t>ales</w:t>
      </w:r>
      <w:r w:rsidR="004D3DEC" w:rsidRPr="0035164E">
        <w:t xml:space="preserve"> recovers from drought, bushfire and </w:t>
      </w:r>
      <w:r w:rsidR="00CB415C">
        <w:t xml:space="preserve">the </w:t>
      </w:r>
      <w:r w:rsidR="004D3DEC" w:rsidRPr="0035164E">
        <w:t>COVID-19</w:t>
      </w:r>
      <w:r w:rsidR="00CB415C">
        <w:t xml:space="preserve"> pandemic</w:t>
      </w:r>
      <w:r w:rsidR="004D3DEC" w:rsidRPr="0035164E">
        <w:t xml:space="preserve">, how closely government, industry and community can work together will be the marker of success. </w:t>
      </w:r>
    </w:p>
    <w:p w14:paraId="477E7899" w14:textId="77777777" w:rsidR="001F35B3" w:rsidRDefault="001F35B3">
      <w:pPr>
        <w:rPr>
          <w:rFonts w:ascii="Arial" w:eastAsia="Times New Roman" w:hAnsi="Arial" w:cs="Times New Roman"/>
          <w:bCs/>
          <w:i/>
          <w:color w:val="4F4F4F"/>
          <w:kern w:val="28"/>
          <w:sz w:val="22"/>
          <w:lang w:eastAsia="en-AU"/>
        </w:rPr>
      </w:pPr>
      <w:r>
        <w:rPr>
          <w:lang w:eastAsia="en-AU"/>
        </w:rPr>
        <w:br w:type="page"/>
      </w:r>
    </w:p>
    <w:p w14:paraId="7406AEE6" w14:textId="7B214C71" w:rsidR="006F5AC0" w:rsidRPr="00F2275D" w:rsidRDefault="006F5AC0" w:rsidP="00C763D1">
      <w:pPr>
        <w:pStyle w:val="Chart4X"/>
        <w:ind w:left="1134" w:hanging="1134"/>
        <w:rPr>
          <w:lang w:eastAsia="en-AU"/>
        </w:rPr>
      </w:pPr>
      <w:r w:rsidRPr="00F2275D">
        <w:rPr>
          <w:lang w:eastAsia="en-AU"/>
        </w:rPr>
        <w:lastRenderedPageBreak/>
        <w:t>Rating of Industry Stakeholders based on engagement with DPI</w:t>
      </w:r>
    </w:p>
    <w:p w14:paraId="1AF527CB" w14:textId="479D4B06" w:rsidR="007C5993" w:rsidRPr="00AF33AA" w:rsidRDefault="00C80703" w:rsidP="00C763D1">
      <w:pPr>
        <w:autoSpaceDE w:val="0"/>
        <w:autoSpaceDN w:val="0"/>
        <w:adjustRightInd w:val="0"/>
        <w:spacing w:after="0" w:line="240" w:lineRule="auto"/>
        <w:jc w:val="center"/>
        <w:rPr>
          <w:rFonts w:ascii="Arial" w:eastAsia="Times New Roman" w:hAnsi="Arial" w:cs="Arial"/>
          <w:color w:val="A6A6A6" w:themeColor="background1" w:themeShade="A6"/>
          <w:sz w:val="23"/>
          <w:szCs w:val="20"/>
        </w:rPr>
      </w:pPr>
      <w:r>
        <w:rPr>
          <w:noProof/>
          <w:lang w:eastAsia="en-AU"/>
        </w:rPr>
        <w:drawing>
          <wp:inline distT="0" distB="0" distL="0" distR="0" wp14:anchorId="6C0B44A4" wp14:editId="0D3EED4C">
            <wp:extent cx="4794250" cy="2562225"/>
            <wp:effectExtent l="0" t="0" r="0" b="0"/>
            <wp:docPr id="21" name="Chart 21" descr="Chart 6.7: Rating of Industry Stakeholders based on engagement with DPI">
              <a:extLst xmlns:a="http://schemas.openxmlformats.org/drawingml/2006/main">
                <a:ext uri="{FF2B5EF4-FFF2-40B4-BE49-F238E27FC236}">
                  <a16:creationId xmlns:a16="http://schemas.microsoft.com/office/drawing/2014/main" id="{38E20907-6AED-47F0-8C8E-589861B9E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24B0B4" w14:textId="49501A2A" w:rsidR="00222D8D" w:rsidRPr="0035164E" w:rsidRDefault="00F721DC" w:rsidP="00EA3B46">
      <w:pPr>
        <w:pStyle w:val="Heading4"/>
        <w:rPr>
          <w:color w:val="44546A" w:themeColor="text2"/>
        </w:rPr>
      </w:pPr>
      <w:r w:rsidRPr="0035164E">
        <w:t>M</w:t>
      </w:r>
      <w:r w:rsidR="007C5993" w:rsidRPr="0035164E">
        <w:t xml:space="preserve">aintain top </w:t>
      </w:r>
      <w:r w:rsidR="00D36F80">
        <w:t>one</w:t>
      </w:r>
      <w:r w:rsidR="00222D8D" w:rsidRPr="0035164E">
        <w:t xml:space="preserve"> per cent</w:t>
      </w:r>
      <w:r w:rsidR="007C5993" w:rsidRPr="0035164E">
        <w:t xml:space="preserve"> of International Research Ranking in Agricultural Science, Plant and Animal Sciences</w:t>
      </w:r>
      <w:r w:rsidR="006E4E74" w:rsidRPr="006E4E74">
        <w:t xml:space="preserve"> </w:t>
      </w:r>
    </w:p>
    <w:p w14:paraId="272368FD" w14:textId="4D34C761" w:rsidR="008C2CA2" w:rsidRDefault="00FA0014" w:rsidP="004052A2">
      <w:pPr>
        <w:pStyle w:val="BodyText"/>
      </w:pPr>
      <w:r>
        <w:t>This indicator t</w:t>
      </w:r>
      <w:r w:rsidR="007C5993" w:rsidRPr="0035164E">
        <w:t xml:space="preserve">racks </w:t>
      </w:r>
      <w:r w:rsidR="00CB415C">
        <w:t xml:space="preserve">the </w:t>
      </w:r>
      <w:r w:rsidR="007C5993" w:rsidRPr="0035164E">
        <w:t>publication</w:t>
      </w:r>
      <w:r w:rsidR="002B6089">
        <w:t xml:space="preserve"> of research</w:t>
      </w:r>
      <w:r w:rsidR="007C5993" w:rsidRPr="0035164E">
        <w:t xml:space="preserve"> in high</w:t>
      </w:r>
      <w:r w:rsidR="00CB415C">
        <w:t>-</w:t>
      </w:r>
      <w:r w:rsidR="007C5993" w:rsidRPr="0035164E">
        <w:t>impact scientific journals</w:t>
      </w:r>
      <w:r w:rsidR="00B5589D">
        <w:t>,</w:t>
      </w:r>
      <w:r w:rsidR="007C5993" w:rsidRPr="0035164E">
        <w:t xml:space="preserve"> which is a key indicator of the quantity, quality and robustness of N</w:t>
      </w:r>
      <w:r w:rsidR="009F0FC9">
        <w:t>S</w:t>
      </w:r>
      <w:r w:rsidR="007C5993" w:rsidRPr="0035164E">
        <w:t>W D</w:t>
      </w:r>
      <w:r w:rsidR="000C3CD5">
        <w:t xml:space="preserve">epartment of </w:t>
      </w:r>
      <w:r w:rsidR="009F0FC9" w:rsidRPr="0035164E">
        <w:t>P</w:t>
      </w:r>
      <w:r w:rsidR="009F0FC9">
        <w:t>rimary</w:t>
      </w:r>
      <w:r w:rsidR="000C3CD5">
        <w:t xml:space="preserve"> </w:t>
      </w:r>
      <w:r w:rsidR="007C5993" w:rsidRPr="0035164E">
        <w:t>I</w:t>
      </w:r>
      <w:r w:rsidR="000C3CD5">
        <w:t>ndustry</w:t>
      </w:r>
      <w:r w:rsidR="007C5993" w:rsidRPr="0035164E">
        <w:t xml:space="preserve">'s </w:t>
      </w:r>
      <w:r w:rsidR="00981839">
        <w:t xml:space="preserve">(DPI) </w:t>
      </w:r>
      <w:r w:rsidR="007C5993" w:rsidRPr="0035164E">
        <w:t>science</w:t>
      </w:r>
      <w:r w:rsidR="001B401E">
        <w:t xml:space="preserve"> functions</w:t>
      </w:r>
      <w:r w:rsidR="007C5993" w:rsidRPr="0035164E">
        <w:t xml:space="preserve">. DPI benchmarks against </w:t>
      </w:r>
      <w:r w:rsidR="00981839">
        <w:t>similar</w:t>
      </w:r>
      <w:r w:rsidR="007C5993" w:rsidRPr="0035164E">
        <w:t xml:space="preserve"> organisations using widely recognised metrics</w:t>
      </w:r>
      <w:r w:rsidR="00880667">
        <w:t>,</w:t>
      </w:r>
      <w:r w:rsidR="007C5993" w:rsidRPr="0035164E">
        <w:t xml:space="preserve"> such as</w:t>
      </w:r>
      <w:r w:rsidR="00880667">
        <w:t>,</w:t>
      </w:r>
      <w:r w:rsidR="007C5993" w:rsidRPr="0035164E">
        <w:t xml:space="preserve"> the number of scientific publications, citations and science impact. The citation ranking is based on how many other scientists refer to DPI’s research in their scientific papers. As such, it is a measure of the impact or ‘usefulness’ of DPI’s research work</w:t>
      </w:r>
      <w:r w:rsidR="000D09C0">
        <w:t>, which can improve performance of</w:t>
      </w:r>
      <w:r w:rsidR="00234A2F">
        <w:t xml:space="preserve"> NSW’s primary industries</w:t>
      </w:r>
      <w:r w:rsidR="007C5993" w:rsidRPr="0035164E">
        <w:t xml:space="preserve">. </w:t>
      </w:r>
    </w:p>
    <w:p w14:paraId="2252765D" w14:textId="02766FDE" w:rsidR="007C5993" w:rsidRDefault="00AD69BA" w:rsidP="004052A2">
      <w:pPr>
        <w:pStyle w:val="BodyText"/>
      </w:pPr>
      <w:r>
        <w:t xml:space="preserve">Performance against this indicator </w:t>
      </w:r>
      <w:r w:rsidR="007C5993" w:rsidRPr="0035164E">
        <w:t>has</w:t>
      </w:r>
      <w:r w:rsidR="00BB367A">
        <w:t xml:space="preserve"> </w:t>
      </w:r>
      <w:r w:rsidR="0043346F">
        <w:t>remained stable, with DPI</w:t>
      </w:r>
      <w:r w:rsidR="007C5993" w:rsidRPr="0035164E">
        <w:t xml:space="preserve"> consistently maintain</w:t>
      </w:r>
      <w:r w:rsidR="0043346F">
        <w:t>ing</w:t>
      </w:r>
      <w:r w:rsidR="007C5993" w:rsidRPr="0035164E">
        <w:t xml:space="preserve"> its place in the top </w:t>
      </w:r>
      <w:r w:rsidR="00D36F80">
        <w:t>one</w:t>
      </w:r>
      <w:r w:rsidR="00714A34" w:rsidRPr="0035164E">
        <w:t xml:space="preserve"> per cent</w:t>
      </w:r>
      <w:r w:rsidR="007C5993" w:rsidRPr="0035164E">
        <w:t xml:space="preserve"> of research organisations globally for over a decade</w:t>
      </w:r>
      <w:r w:rsidR="06AD8788" w:rsidRPr="0035164E">
        <w:t xml:space="preserve"> </w:t>
      </w:r>
      <w:r w:rsidR="00F721DC" w:rsidRPr="0035164E">
        <w:t>and are on track to maintain this place in 2020-21.</w:t>
      </w:r>
    </w:p>
    <w:p w14:paraId="7FF48695" w14:textId="55E8319B" w:rsidR="006F5AC0" w:rsidRPr="00F2275D" w:rsidRDefault="006F5AC0" w:rsidP="00C763D1">
      <w:pPr>
        <w:pStyle w:val="Chart4X"/>
        <w:ind w:left="1134" w:hanging="1134"/>
        <w:rPr>
          <w:lang w:eastAsia="en-AU"/>
        </w:rPr>
      </w:pPr>
      <w:r w:rsidRPr="00F2275D">
        <w:rPr>
          <w:lang w:eastAsia="en-AU"/>
        </w:rPr>
        <w:t xml:space="preserve">Maintain top 1% of International Research Ranking in </w:t>
      </w:r>
      <w:r w:rsidR="00AB6B5C">
        <w:rPr>
          <w:lang w:eastAsia="en-AU"/>
        </w:rPr>
        <w:t>A</w:t>
      </w:r>
      <w:r w:rsidRPr="00F2275D">
        <w:rPr>
          <w:lang w:eastAsia="en-AU"/>
        </w:rPr>
        <w:t>gricultural Science, Plant and Animal Sciences</w:t>
      </w:r>
    </w:p>
    <w:p w14:paraId="494585E2" w14:textId="24798DBD" w:rsidR="006F5AC0" w:rsidRDefault="00072ACA" w:rsidP="00C763D1">
      <w:pPr>
        <w:jc w:val="center"/>
        <w:rPr>
          <w:rFonts w:ascii="Arial" w:eastAsia="Times New Roman" w:hAnsi="Arial" w:cs="Arial"/>
          <w:b/>
          <w:kern w:val="28"/>
          <w:sz w:val="27"/>
          <w:szCs w:val="36"/>
        </w:rPr>
      </w:pPr>
      <w:r>
        <w:rPr>
          <w:noProof/>
          <w:lang w:eastAsia="en-AU"/>
        </w:rPr>
        <w:drawing>
          <wp:inline distT="0" distB="0" distL="0" distR="0" wp14:anchorId="4896B71A" wp14:editId="587657C9">
            <wp:extent cx="4794250" cy="2562225"/>
            <wp:effectExtent l="0" t="0" r="0" b="0"/>
            <wp:docPr id="26" name="Chart 26" descr="Chart 6.8: Maintain top 1% of International Research Ranking in Agricultural Science, Plant and Animal Sciences">
              <a:extLst xmlns:a="http://schemas.openxmlformats.org/drawingml/2006/main">
                <a:ext uri="{FF2B5EF4-FFF2-40B4-BE49-F238E27FC236}">
                  <a16:creationId xmlns:a16="http://schemas.microsoft.com/office/drawing/2014/main" id="{AB0AB376-E69D-47CC-B8EA-749C4CFCE8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F24A86" w14:textId="77777777" w:rsidR="006749AF" w:rsidRDefault="006749AF">
      <w:pPr>
        <w:rPr>
          <w:rFonts w:ascii="Arial" w:eastAsia="Times New Roman" w:hAnsi="Arial" w:cs="Arial"/>
          <w:b/>
          <w:kern w:val="28"/>
          <w:sz w:val="27"/>
          <w:szCs w:val="36"/>
        </w:rPr>
      </w:pPr>
      <w:r>
        <w:rPr>
          <w:rFonts w:ascii="Arial" w:hAnsi="Arial" w:cs="Arial"/>
        </w:rPr>
        <w:br w:type="page"/>
      </w:r>
    </w:p>
    <w:p w14:paraId="7E58BBF8" w14:textId="62BAEB21" w:rsidR="007C5993" w:rsidRDefault="00BE0147" w:rsidP="006B2C51">
      <w:pPr>
        <w:pStyle w:val="Heading3"/>
        <w:spacing w:before="240" w:after="100"/>
        <w:rPr>
          <w:rFonts w:ascii="Arial" w:hAnsi="Arial" w:cs="Arial"/>
        </w:rPr>
      </w:pPr>
      <w:r>
        <w:rPr>
          <w:rFonts w:ascii="Arial" w:hAnsi="Arial" w:cs="Arial"/>
        </w:rPr>
        <w:lastRenderedPageBreak/>
        <w:t>P</w:t>
      </w:r>
      <w:r w:rsidR="007C5993">
        <w:rPr>
          <w:rFonts w:ascii="Arial" w:hAnsi="Arial" w:cs="Arial"/>
        </w:rPr>
        <w:t xml:space="preserve">erformance indicators for this </w:t>
      </w:r>
      <w:r w:rsidR="002464C1">
        <w:rPr>
          <w:rFonts w:ascii="Arial" w:hAnsi="Arial" w:cs="Arial"/>
        </w:rPr>
        <w:t>O</w:t>
      </w:r>
      <w:r w:rsidR="007C5993">
        <w:rPr>
          <w:rFonts w:ascii="Arial" w:hAnsi="Arial" w:cs="Arial"/>
        </w:rPr>
        <w:t>utcome</w:t>
      </w:r>
    </w:p>
    <w:tbl>
      <w:tblPr>
        <w:tblW w:w="9639" w:type="dxa"/>
        <w:tblLook w:val="04A0" w:firstRow="1" w:lastRow="0" w:firstColumn="1" w:lastColumn="0" w:noHBand="0" w:noVBand="1"/>
        <w:tblCaption w:val="Performance indicators for this Outcome"/>
      </w:tblPr>
      <w:tblGrid>
        <w:gridCol w:w="6520"/>
        <w:gridCol w:w="851"/>
        <w:gridCol w:w="1077"/>
        <w:gridCol w:w="1191"/>
      </w:tblGrid>
      <w:tr w:rsidR="005A343E" w:rsidRPr="00BE4833" w14:paraId="4FA5AA9C" w14:textId="77777777" w:rsidTr="000E2A4B">
        <w:trPr>
          <w:trHeight w:val="283"/>
        </w:trPr>
        <w:tc>
          <w:tcPr>
            <w:tcW w:w="6520" w:type="dxa"/>
            <w:vMerge w:val="restart"/>
            <w:tcBorders>
              <w:top w:val="nil"/>
              <w:left w:val="nil"/>
              <w:bottom w:val="nil"/>
              <w:right w:val="nil"/>
            </w:tcBorders>
            <w:shd w:val="clear" w:color="auto" w:fill="00426F"/>
            <w:noWrap/>
            <w:vAlign w:val="center"/>
            <w:hideMark/>
          </w:tcPr>
          <w:p w14:paraId="5B92101F" w14:textId="77777777" w:rsidR="005A343E" w:rsidRPr="00BE4833" w:rsidRDefault="005A343E" w:rsidP="00C7714D">
            <w:pPr>
              <w:spacing w:after="0" w:line="240" w:lineRule="auto"/>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Outcome Indicators</w:t>
            </w:r>
          </w:p>
        </w:tc>
        <w:tc>
          <w:tcPr>
            <w:tcW w:w="851" w:type="dxa"/>
            <w:vMerge w:val="restart"/>
            <w:tcBorders>
              <w:top w:val="nil"/>
              <w:left w:val="nil"/>
              <w:bottom w:val="nil"/>
              <w:right w:val="nil"/>
            </w:tcBorders>
            <w:shd w:val="clear" w:color="auto" w:fill="00426F"/>
            <w:noWrap/>
            <w:vAlign w:val="center"/>
            <w:hideMark/>
          </w:tcPr>
          <w:p w14:paraId="0D816223" w14:textId="77777777" w:rsidR="005A343E" w:rsidRPr="00BE4833" w:rsidRDefault="005A343E" w:rsidP="005A343E">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Units</w:t>
            </w:r>
          </w:p>
        </w:tc>
        <w:tc>
          <w:tcPr>
            <w:tcW w:w="1077" w:type="dxa"/>
            <w:tcBorders>
              <w:top w:val="nil"/>
              <w:left w:val="nil"/>
              <w:bottom w:val="nil"/>
              <w:right w:val="nil"/>
            </w:tcBorders>
            <w:shd w:val="clear" w:color="auto" w:fill="00426F"/>
            <w:noWrap/>
            <w:vAlign w:val="bottom"/>
            <w:hideMark/>
          </w:tcPr>
          <w:p w14:paraId="379E8945" w14:textId="77777777" w:rsidR="005A343E" w:rsidRPr="00BE4833" w:rsidRDefault="005A343E" w:rsidP="002F57F0">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5804EA84" w14:textId="77777777" w:rsidR="005A343E" w:rsidRPr="00BE4833" w:rsidRDefault="005A343E" w:rsidP="002F57F0">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2020-21</w:t>
            </w:r>
          </w:p>
        </w:tc>
      </w:tr>
      <w:tr w:rsidR="005A343E" w:rsidRPr="00BE4833" w14:paraId="59517493" w14:textId="77777777" w:rsidTr="000E2A4B">
        <w:trPr>
          <w:trHeight w:val="283"/>
        </w:trPr>
        <w:tc>
          <w:tcPr>
            <w:tcW w:w="6520" w:type="dxa"/>
            <w:vMerge/>
            <w:shd w:val="clear" w:color="auto" w:fill="00426F"/>
            <w:vAlign w:val="center"/>
            <w:hideMark/>
          </w:tcPr>
          <w:p w14:paraId="218F08A7" w14:textId="77777777" w:rsidR="005A343E" w:rsidRPr="00BE4833" w:rsidRDefault="005A343E" w:rsidP="005A343E">
            <w:pPr>
              <w:spacing w:after="0" w:line="240" w:lineRule="auto"/>
              <w:rPr>
                <w:rFonts w:ascii="Arial" w:eastAsia="Times New Roman" w:hAnsi="Arial" w:cs="Arial"/>
                <w:b/>
                <w:bCs/>
                <w:color w:val="FFFFFF"/>
                <w:sz w:val="18"/>
                <w:szCs w:val="18"/>
                <w:lang w:eastAsia="en-AU"/>
              </w:rPr>
            </w:pPr>
          </w:p>
        </w:tc>
        <w:tc>
          <w:tcPr>
            <w:tcW w:w="851" w:type="dxa"/>
            <w:vMerge/>
            <w:shd w:val="clear" w:color="auto" w:fill="00426F"/>
            <w:vAlign w:val="center"/>
            <w:hideMark/>
          </w:tcPr>
          <w:p w14:paraId="074BAA51" w14:textId="77777777" w:rsidR="005A343E" w:rsidRPr="00BE4833" w:rsidRDefault="005A343E" w:rsidP="005A343E">
            <w:pPr>
              <w:spacing w:after="0" w:line="240" w:lineRule="auto"/>
              <w:rPr>
                <w:rFonts w:ascii="Arial" w:eastAsia="Times New Roman" w:hAnsi="Arial" w:cs="Arial"/>
                <w:b/>
                <w:bCs/>
                <w:color w:val="FFFFFF"/>
                <w:sz w:val="18"/>
                <w:szCs w:val="18"/>
                <w:lang w:eastAsia="en-AU"/>
              </w:rPr>
            </w:pPr>
          </w:p>
        </w:tc>
        <w:tc>
          <w:tcPr>
            <w:tcW w:w="1077" w:type="dxa"/>
            <w:tcBorders>
              <w:top w:val="nil"/>
              <w:left w:val="nil"/>
              <w:bottom w:val="nil"/>
              <w:right w:val="nil"/>
            </w:tcBorders>
            <w:shd w:val="clear" w:color="auto" w:fill="00426F"/>
            <w:noWrap/>
            <w:hideMark/>
          </w:tcPr>
          <w:p w14:paraId="7CD18903" w14:textId="77777777" w:rsidR="005A343E" w:rsidRPr="00BE4833" w:rsidRDefault="005A343E" w:rsidP="002F57F0">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0D824303" w14:textId="77777777" w:rsidR="005A343E" w:rsidRPr="00BE4833" w:rsidRDefault="005A343E" w:rsidP="002F57F0">
            <w:pPr>
              <w:spacing w:after="0" w:line="240" w:lineRule="auto"/>
              <w:jc w:val="center"/>
              <w:rPr>
                <w:rFonts w:ascii="Arial" w:eastAsia="Times New Roman" w:hAnsi="Arial" w:cs="Arial"/>
                <w:b/>
                <w:bCs/>
                <w:color w:val="FFFFFF"/>
                <w:sz w:val="18"/>
                <w:szCs w:val="18"/>
                <w:lang w:eastAsia="en-AU"/>
              </w:rPr>
            </w:pPr>
            <w:r w:rsidRPr="00BE4833">
              <w:rPr>
                <w:rFonts w:ascii="Arial" w:eastAsia="Times New Roman" w:hAnsi="Arial" w:cs="Arial"/>
                <w:b/>
                <w:bCs/>
                <w:color w:val="FFFFFF"/>
                <w:sz w:val="18"/>
                <w:szCs w:val="18"/>
                <w:lang w:eastAsia="en-AU"/>
              </w:rPr>
              <w:t>Forecast</w:t>
            </w:r>
          </w:p>
        </w:tc>
      </w:tr>
      <w:tr w:rsidR="005A343E" w:rsidRPr="005A343E" w14:paraId="1FA2538C" w14:textId="77777777" w:rsidTr="000E2A4B">
        <w:trPr>
          <w:trHeight w:val="45"/>
        </w:trPr>
        <w:tc>
          <w:tcPr>
            <w:tcW w:w="6520" w:type="dxa"/>
            <w:tcBorders>
              <w:top w:val="nil"/>
              <w:left w:val="nil"/>
              <w:bottom w:val="nil"/>
              <w:right w:val="nil"/>
            </w:tcBorders>
            <w:shd w:val="clear" w:color="auto" w:fill="auto"/>
            <w:noWrap/>
            <w:vAlign w:val="center"/>
            <w:hideMark/>
          </w:tcPr>
          <w:p w14:paraId="24F204DE" w14:textId="77777777" w:rsidR="005A343E" w:rsidRPr="005A343E" w:rsidRDefault="005A343E" w:rsidP="005A343E">
            <w:pPr>
              <w:spacing w:after="0" w:line="240" w:lineRule="auto"/>
              <w:jc w:val="center"/>
              <w:rPr>
                <w:rFonts w:ascii="Arial" w:eastAsia="Times New Roman" w:hAnsi="Arial" w:cs="Arial"/>
                <w:b/>
                <w:bCs/>
                <w:color w:val="FFFFFF"/>
                <w:sz w:val="16"/>
                <w:szCs w:val="16"/>
                <w:lang w:eastAsia="en-AU"/>
              </w:rPr>
            </w:pPr>
          </w:p>
        </w:tc>
        <w:tc>
          <w:tcPr>
            <w:tcW w:w="851" w:type="dxa"/>
            <w:tcBorders>
              <w:top w:val="nil"/>
              <w:left w:val="nil"/>
              <w:bottom w:val="nil"/>
              <w:right w:val="nil"/>
            </w:tcBorders>
            <w:shd w:val="clear" w:color="auto" w:fill="auto"/>
            <w:noWrap/>
            <w:vAlign w:val="center"/>
            <w:hideMark/>
          </w:tcPr>
          <w:p w14:paraId="73B18DD7" w14:textId="77777777" w:rsidR="005A343E" w:rsidRPr="005A343E" w:rsidRDefault="005A343E" w:rsidP="005A343E">
            <w:pPr>
              <w:spacing w:after="0" w:line="240" w:lineRule="auto"/>
              <w:ind w:firstLineChars="100" w:firstLine="200"/>
              <w:rPr>
                <w:rFonts w:ascii="Times New Roman" w:eastAsia="Times New Roman" w:hAnsi="Times New Roman" w:cs="Times New Roman"/>
                <w:szCs w:val="20"/>
                <w:lang w:eastAsia="en-AU"/>
              </w:rPr>
            </w:pPr>
          </w:p>
        </w:tc>
        <w:tc>
          <w:tcPr>
            <w:tcW w:w="1077" w:type="dxa"/>
            <w:tcBorders>
              <w:top w:val="nil"/>
              <w:left w:val="nil"/>
              <w:bottom w:val="nil"/>
              <w:right w:val="nil"/>
            </w:tcBorders>
            <w:shd w:val="clear" w:color="auto" w:fill="auto"/>
            <w:noWrap/>
            <w:vAlign w:val="center"/>
            <w:hideMark/>
          </w:tcPr>
          <w:p w14:paraId="7D9B5F19" w14:textId="77777777" w:rsidR="005A343E" w:rsidRPr="005A343E" w:rsidRDefault="005A343E" w:rsidP="005A343E">
            <w:pPr>
              <w:spacing w:after="0" w:line="240" w:lineRule="auto"/>
              <w:jc w:val="center"/>
              <w:rPr>
                <w:rFonts w:ascii="Times New Roman" w:eastAsia="Times New Roman" w:hAnsi="Times New Roman" w:cs="Times New Roman"/>
                <w:szCs w:val="20"/>
                <w:lang w:eastAsia="en-AU"/>
              </w:rPr>
            </w:pPr>
          </w:p>
        </w:tc>
        <w:tc>
          <w:tcPr>
            <w:tcW w:w="1191" w:type="dxa"/>
            <w:tcBorders>
              <w:top w:val="nil"/>
              <w:left w:val="nil"/>
              <w:bottom w:val="nil"/>
              <w:right w:val="nil"/>
            </w:tcBorders>
            <w:shd w:val="clear" w:color="auto" w:fill="auto"/>
            <w:noWrap/>
            <w:vAlign w:val="center"/>
            <w:hideMark/>
          </w:tcPr>
          <w:p w14:paraId="4C9C34CC" w14:textId="77777777" w:rsidR="005A343E" w:rsidRPr="005A343E" w:rsidRDefault="005A343E" w:rsidP="005A343E">
            <w:pPr>
              <w:spacing w:after="0" w:line="240" w:lineRule="auto"/>
              <w:jc w:val="center"/>
              <w:rPr>
                <w:rFonts w:ascii="Times New Roman" w:eastAsia="Times New Roman" w:hAnsi="Times New Roman" w:cs="Times New Roman"/>
                <w:szCs w:val="20"/>
                <w:lang w:eastAsia="en-AU"/>
              </w:rPr>
            </w:pPr>
          </w:p>
        </w:tc>
      </w:tr>
      <w:tr w:rsidR="005A343E" w:rsidRPr="005A343E" w14:paraId="76ACF87A" w14:textId="77777777" w:rsidTr="000E2A4B">
        <w:trPr>
          <w:trHeight w:val="225"/>
        </w:trPr>
        <w:tc>
          <w:tcPr>
            <w:tcW w:w="6520" w:type="dxa"/>
            <w:tcBorders>
              <w:top w:val="nil"/>
              <w:left w:val="nil"/>
              <w:bottom w:val="nil"/>
              <w:right w:val="nil"/>
            </w:tcBorders>
            <w:shd w:val="clear" w:color="auto" w:fill="auto"/>
            <w:vAlign w:val="bottom"/>
            <w:hideMark/>
          </w:tcPr>
          <w:p w14:paraId="316BE8BE" w14:textId="77777777" w:rsidR="005A343E" w:rsidRPr="005A343E" w:rsidRDefault="005A343E" w:rsidP="002F57F0">
            <w:pPr>
              <w:spacing w:after="0" w:line="240" w:lineRule="auto"/>
              <w:rPr>
                <w:rFonts w:ascii="Arial" w:eastAsia="Times New Roman" w:hAnsi="Arial" w:cs="Arial"/>
                <w:color w:val="000000"/>
                <w:sz w:val="16"/>
                <w:szCs w:val="16"/>
                <w:lang w:eastAsia="en-AU"/>
              </w:rPr>
            </w:pPr>
            <w:r w:rsidRPr="005A343E">
              <w:rPr>
                <w:rFonts w:ascii="Arial" w:eastAsia="Times New Roman" w:hAnsi="Arial" w:cs="Arial"/>
                <w:color w:val="000000"/>
                <w:sz w:val="16"/>
                <w:szCs w:val="16"/>
                <w:lang w:eastAsia="en-AU"/>
              </w:rPr>
              <w:t>Growth in total primary industries output over 12 months</w:t>
            </w:r>
          </w:p>
        </w:tc>
        <w:tc>
          <w:tcPr>
            <w:tcW w:w="851" w:type="dxa"/>
            <w:tcBorders>
              <w:top w:val="nil"/>
              <w:left w:val="nil"/>
              <w:bottom w:val="nil"/>
              <w:right w:val="nil"/>
            </w:tcBorders>
            <w:shd w:val="clear" w:color="auto" w:fill="auto"/>
            <w:noWrap/>
            <w:vAlign w:val="bottom"/>
            <w:hideMark/>
          </w:tcPr>
          <w:p w14:paraId="13CC946C" w14:textId="0E58E99D" w:rsidR="005A343E" w:rsidRPr="005A343E" w:rsidRDefault="005A343E" w:rsidP="002F57F0">
            <w:pPr>
              <w:spacing w:after="0" w:line="240" w:lineRule="auto"/>
              <w:jc w:val="center"/>
              <w:rPr>
                <w:rFonts w:ascii="Arial" w:eastAsia="Times New Roman" w:hAnsi="Arial" w:cs="Arial"/>
                <w:color w:val="000000"/>
                <w:sz w:val="16"/>
                <w:szCs w:val="16"/>
                <w:lang w:eastAsia="en-AU"/>
              </w:rPr>
            </w:pPr>
            <w:r w:rsidRPr="005A343E">
              <w:rPr>
                <w:rFonts w:ascii="Arial" w:eastAsia="Times New Roman" w:hAnsi="Arial" w:cs="Arial"/>
                <w:color w:val="000000"/>
                <w:sz w:val="16"/>
                <w:szCs w:val="16"/>
                <w:lang w:eastAsia="en-AU"/>
              </w:rPr>
              <w:t>$</w:t>
            </w:r>
            <w:r w:rsidR="00716669">
              <w:rPr>
                <w:rFonts w:ascii="Arial" w:eastAsia="Times New Roman" w:hAnsi="Arial" w:cs="Arial"/>
                <w:color w:val="000000"/>
                <w:sz w:val="16"/>
                <w:szCs w:val="16"/>
                <w:lang w:eastAsia="en-AU"/>
              </w:rPr>
              <w:t xml:space="preserve"> billions</w:t>
            </w:r>
          </w:p>
        </w:tc>
        <w:tc>
          <w:tcPr>
            <w:tcW w:w="1077" w:type="dxa"/>
            <w:tcBorders>
              <w:top w:val="nil"/>
              <w:left w:val="nil"/>
              <w:bottom w:val="nil"/>
              <w:right w:val="nil"/>
            </w:tcBorders>
            <w:shd w:val="clear" w:color="auto" w:fill="auto"/>
            <w:noWrap/>
            <w:vAlign w:val="bottom"/>
            <w:hideMark/>
          </w:tcPr>
          <w:p w14:paraId="2A66AD15" w14:textId="660DD4BB" w:rsidR="005A343E" w:rsidRPr="005A343E" w:rsidRDefault="002D68ED" w:rsidP="00904865">
            <w:pPr>
              <w:spacing w:after="0" w:line="240" w:lineRule="auto"/>
              <w:ind w:right="170"/>
              <w:jc w:val="right"/>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15.7</w:t>
            </w:r>
          </w:p>
        </w:tc>
        <w:tc>
          <w:tcPr>
            <w:tcW w:w="1191" w:type="dxa"/>
            <w:tcBorders>
              <w:top w:val="nil"/>
              <w:left w:val="nil"/>
              <w:bottom w:val="nil"/>
              <w:right w:val="nil"/>
            </w:tcBorders>
            <w:shd w:val="clear" w:color="auto" w:fill="auto"/>
            <w:noWrap/>
            <w:vAlign w:val="bottom"/>
            <w:hideMark/>
          </w:tcPr>
          <w:p w14:paraId="400ABACC" w14:textId="12427222" w:rsidR="005A343E" w:rsidRPr="005A343E" w:rsidRDefault="002D68ED" w:rsidP="00904865">
            <w:pPr>
              <w:spacing w:after="0" w:line="240" w:lineRule="auto"/>
              <w:ind w:right="170"/>
              <w:jc w:val="right"/>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19.2</w:t>
            </w:r>
          </w:p>
        </w:tc>
      </w:tr>
      <w:tr w:rsidR="005A343E" w:rsidRPr="005A343E" w14:paraId="724ECD5E" w14:textId="77777777" w:rsidTr="000E2A4B">
        <w:trPr>
          <w:trHeight w:val="450"/>
        </w:trPr>
        <w:tc>
          <w:tcPr>
            <w:tcW w:w="6520" w:type="dxa"/>
            <w:tcBorders>
              <w:top w:val="nil"/>
              <w:left w:val="nil"/>
              <w:bottom w:val="nil"/>
              <w:right w:val="nil"/>
            </w:tcBorders>
            <w:shd w:val="clear" w:color="auto" w:fill="auto"/>
            <w:vAlign w:val="bottom"/>
            <w:hideMark/>
          </w:tcPr>
          <w:p w14:paraId="64C54E63" w14:textId="77777777" w:rsidR="005A343E" w:rsidRPr="005A343E" w:rsidRDefault="005A343E" w:rsidP="002F57F0">
            <w:pPr>
              <w:spacing w:after="0" w:line="240" w:lineRule="auto"/>
              <w:rPr>
                <w:rFonts w:ascii="Arial" w:eastAsia="Times New Roman" w:hAnsi="Arial" w:cs="Arial"/>
                <w:color w:val="000000"/>
                <w:sz w:val="16"/>
                <w:szCs w:val="16"/>
                <w:lang w:eastAsia="en-AU"/>
              </w:rPr>
            </w:pPr>
            <w:r w:rsidRPr="005A343E">
              <w:rPr>
                <w:rFonts w:ascii="Arial" w:eastAsia="Times New Roman" w:hAnsi="Arial" w:cs="Arial"/>
                <w:color w:val="000000"/>
                <w:sz w:val="16"/>
                <w:szCs w:val="16"/>
                <w:lang w:eastAsia="en-AU"/>
              </w:rPr>
              <w:t>Maintain top 1% of International Research Ranking in agricultural Science, Plant and Animal Sciences</w:t>
            </w:r>
          </w:p>
        </w:tc>
        <w:tc>
          <w:tcPr>
            <w:tcW w:w="851" w:type="dxa"/>
            <w:tcBorders>
              <w:top w:val="nil"/>
              <w:left w:val="nil"/>
              <w:bottom w:val="nil"/>
              <w:right w:val="nil"/>
            </w:tcBorders>
            <w:shd w:val="clear" w:color="auto" w:fill="auto"/>
            <w:noWrap/>
            <w:vAlign w:val="bottom"/>
            <w:hideMark/>
          </w:tcPr>
          <w:p w14:paraId="005D25BA" w14:textId="77777777" w:rsidR="005A343E" w:rsidRPr="005A343E" w:rsidRDefault="005A343E" w:rsidP="002F57F0">
            <w:pPr>
              <w:spacing w:after="0" w:line="240" w:lineRule="auto"/>
              <w:jc w:val="center"/>
              <w:rPr>
                <w:rFonts w:ascii="Arial" w:eastAsia="Times New Roman" w:hAnsi="Arial" w:cs="Arial"/>
                <w:color w:val="000000"/>
                <w:sz w:val="16"/>
                <w:szCs w:val="16"/>
                <w:lang w:eastAsia="en-AU"/>
              </w:rPr>
            </w:pPr>
            <w:r w:rsidRPr="005A343E">
              <w:rPr>
                <w:rFonts w:ascii="Arial" w:eastAsia="Times New Roman" w:hAnsi="Arial" w:cs="Arial"/>
                <w:color w:val="000000"/>
                <w:sz w:val="16"/>
                <w:szCs w:val="16"/>
                <w:lang w:eastAsia="en-AU"/>
              </w:rPr>
              <w:t>%</w:t>
            </w:r>
          </w:p>
        </w:tc>
        <w:tc>
          <w:tcPr>
            <w:tcW w:w="1077" w:type="dxa"/>
            <w:tcBorders>
              <w:top w:val="nil"/>
              <w:left w:val="nil"/>
              <w:bottom w:val="nil"/>
              <w:right w:val="nil"/>
            </w:tcBorders>
            <w:shd w:val="clear" w:color="auto" w:fill="auto"/>
            <w:noWrap/>
            <w:vAlign w:val="bottom"/>
            <w:hideMark/>
          </w:tcPr>
          <w:p w14:paraId="107D0A6B" w14:textId="77777777" w:rsidR="005A343E" w:rsidRPr="005A343E" w:rsidRDefault="005A343E" w:rsidP="00904865">
            <w:pPr>
              <w:spacing w:after="0" w:line="240" w:lineRule="auto"/>
              <w:ind w:right="170"/>
              <w:jc w:val="right"/>
              <w:rPr>
                <w:rFonts w:ascii="Arial" w:eastAsia="Times New Roman" w:hAnsi="Arial" w:cs="Arial"/>
                <w:color w:val="000000"/>
                <w:sz w:val="16"/>
                <w:szCs w:val="16"/>
                <w:lang w:eastAsia="en-AU"/>
              </w:rPr>
            </w:pPr>
            <w:r w:rsidRPr="005A343E">
              <w:rPr>
                <w:rFonts w:ascii="Arial" w:eastAsia="Times New Roman" w:hAnsi="Arial" w:cs="Arial"/>
                <w:color w:val="000000"/>
                <w:sz w:val="16"/>
                <w:szCs w:val="16"/>
                <w:lang w:eastAsia="en-AU"/>
              </w:rPr>
              <w:t>1.0</w:t>
            </w:r>
          </w:p>
        </w:tc>
        <w:tc>
          <w:tcPr>
            <w:tcW w:w="1191" w:type="dxa"/>
            <w:tcBorders>
              <w:top w:val="nil"/>
              <w:left w:val="nil"/>
              <w:bottom w:val="nil"/>
              <w:right w:val="nil"/>
            </w:tcBorders>
            <w:shd w:val="clear" w:color="auto" w:fill="auto"/>
            <w:noWrap/>
            <w:vAlign w:val="bottom"/>
            <w:hideMark/>
          </w:tcPr>
          <w:p w14:paraId="2805670B" w14:textId="77777777" w:rsidR="005A343E" w:rsidRPr="005A343E" w:rsidRDefault="005A343E" w:rsidP="00904865">
            <w:pPr>
              <w:spacing w:after="0" w:line="240" w:lineRule="auto"/>
              <w:ind w:right="170"/>
              <w:jc w:val="right"/>
              <w:rPr>
                <w:rFonts w:ascii="Arial" w:eastAsia="Times New Roman" w:hAnsi="Arial" w:cs="Arial"/>
                <w:color w:val="000000"/>
                <w:sz w:val="16"/>
                <w:szCs w:val="16"/>
                <w:lang w:eastAsia="en-AU"/>
              </w:rPr>
            </w:pPr>
            <w:r w:rsidRPr="005A343E">
              <w:rPr>
                <w:rFonts w:ascii="Arial" w:eastAsia="Times New Roman" w:hAnsi="Arial" w:cs="Arial"/>
                <w:color w:val="000000"/>
                <w:sz w:val="16"/>
                <w:szCs w:val="16"/>
                <w:lang w:eastAsia="en-AU"/>
              </w:rPr>
              <w:t>1.0</w:t>
            </w:r>
          </w:p>
        </w:tc>
      </w:tr>
      <w:tr w:rsidR="005A343E" w:rsidRPr="005A343E" w14:paraId="697F1469" w14:textId="77777777" w:rsidTr="000E2A4B">
        <w:trPr>
          <w:trHeight w:val="225"/>
        </w:trPr>
        <w:tc>
          <w:tcPr>
            <w:tcW w:w="6520" w:type="dxa"/>
            <w:tcBorders>
              <w:top w:val="nil"/>
              <w:left w:val="nil"/>
              <w:bottom w:val="nil"/>
              <w:right w:val="nil"/>
            </w:tcBorders>
            <w:shd w:val="clear" w:color="auto" w:fill="auto"/>
            <w:vAlign w:val="bottom"/>
            <w:hideMark/>
          </w:tcPr>
          <w:p w14:paraId="5429804A" w14:textId="77777777" w:rsidR="005A343E" w:rsidRPr="005A343E" w:rsidRDefault="005A343E" w:rsidP="002F57F0">
            <w:pPr>
              <w:spacing w:after="0" w:line="240" w:lineRule="auto"/>
              <w:rPr>
                <w:rFonts w:ascii="Arial" w:eastAsia="Times New Roman" w:hAnsi="Arial" w:cs="Arial"/>
                <w:color w:val="000000"/>
                <w:sz w:val="16"/>
                <w:szCs w:val="16"/>
                <w:lang w:eastAsia="en-AU"/>
              </w:rPr>
            </w:pPr>
            <w:r w:rsidRPr="005A343E">
              <w:rPr>
                <w:rFonts w:ascii="Arial" w:eastAsia="Times New Roman" w:hAnsi="Arial" w:cs="Arial"/>
                <w:color w:val="000000"/>
                <w:sz w:val="16"/>
                <w:szCs w:val="16"/>
                <w:lang w:eastAsia="en-AU"/>
              </w:rPr>
              <w:t>Total primary industries export earnings</w:t>
            </w:r>
          </w:p>
        </w:tc>
        <w:tc>
          <w:tcPr>
            <w:tcW w:w="851" w:type="dxa"/>
            <w:tcBorders>
              <w:top w:val="nil"/>
              <w:left w:val="nil"/>
              <w:bottom w:val="nil"/>
              <w:right w:val="nil"/>
            </w:tcBorders>
            <w:shd w:val="clear" w:color="auto" w:fill="auto"/>
            <w:noWrap/>
            <w:vAlign w:val="bottom"/>
            <w:hideMark/>
          </w:tcPr>
          <w:p w14:paraId="572B7B83" w14:textId="511F49CB" w:rsidR="005A343E" w:rsidRPr="005A343E" w:rsidRDefault="005A343E" w:rsidP="002F57F0">
            <w:pPr>
              <w:spacing w:after="0" w:line="240" w:lineRule="auto"/>
              <w:jc w:val="center"/>
              <w:rPr>
                <w:rFonts w:ascii="Arial" w:eastAsia="Times New Roman" w:hAnsi="Arial" w:cs="Arial"/>
                <w:color w:val="000000"/>
                <w:sz w:val="16"/>
                <w:szCs w:val="16"/>
                <w:lang w:eastAsia="en-AU"/>
              </w:rPr>
            </w:pPr>
            <w:r w:rsidRPr="005A343E">
              <w:rPr>
                <w:rFonts w:ascii="Arial" w:eastAsia="Times New Roman" w:hAnsi="Arial" w:cs="Arial"/>
                <w:color w:val="000000"/>
                <w:sz w:val="16"/>
                <w:szCs w:val="16"/>
                <w:lang w:eastAsia="en-AU"/>
              </w:rPr>
              <w:t>$</w:t>
            </w:r>
            <w:r w:rsidR="000E2A4B">
              <w:rPr>
                <w:rFonts w:ascii="Arial" w:eastAsia="Times New Roman" w:hAnsi="Arial" w:cs="Arial"/>
                <w:color w:val="000000"/>
                <w:sz w:val="16"/>
                <w:szCs w:val="16"/>
                <w:lang w:eastAsia="en-AU"/>
              </w:rPr>
              <w:t xml:space="preserve"> </w:t>
            </w:r>
            <w:r w:rsidR="00C854C1">
              <w:rPr>
                <w:rFonts w:ascii="Arial" w:eastAsia="Times New Roman" w:hAnsi="Arial" w:cs="Arial"/>
                <w:color w:val="000000"/>
                <w:sz w:val="16"/>
                <w:szCs w:val="16"/>
                <w:lang w:eastAsia="en-AU"/>
              </w:rPr>
              <w:t>billions</w:t>
            </w:r>
          </w:p>
        </w:tc>
        <w:tc>
          <w:tcPr>
            <w:tcW w:w="1077" w:type="dxa"/>
            <w:tcBorders>
              <w:top w:val="nil"/>
              <w:left w:val="nil"/>
              <w:bottom w:val="nil"/>
              <w:right w:val="nil"/>
            </w:tcBorders>
            <w:shd w:val="clear" w:color="auto" w:fill="auto"/>
            <w:noWrap/>
            <w:vAlign w:val="bottom"/>
            <w:hideMark/>
          </w:tcPr>
          <w:p w14:paraId="3A2E2842" w14:textId="77777777" w:rsidR="005A343E" w:rsidRPr="005A343E" w:rsidRDefault="005A343E" w:rsidP="00904865">
            <w:pPr>
              <w:spacing w:after="0" w:line="240" w:lineRule="auto"/>
              <w:ind w:right="170"/>
              <w:jc w:val="right"/>
              <w:rPr>
                <w:rFonts w:ascii="Arial" w:eastAsia="Times New Roman" w:hAnsi="Arial" w:cs="Arial"/>
                <w:color w:val="000000"/>
                <w:sz w:val="16"/>
                <w:szCs w:val="16"/>
                <w:lang w:eastAsia="en-AU"/>
              </w:rPr>
            </w:pPr>
            <w:r w:rsidRPr="005A343E">
              <w:rPr>
                <w:rFonts w:ascii="Arial" w:eastAsia="Times New Roman" w:hAnsi="Arial" w:cs="Arial"/>
                <w:color w:val="000000"/>
                <w:sz w:val="16"/>
                <w:szCs w:val="16"/>
                <w:lang w:eastAsia="en-AU"/>
              </w:rPr>
              <w:t>5.5</w:t>
            </w:r>
          </w:p>
        </w:tc>
        <w:tc>
          <w:tcPr>
            <w:tcW w:w="1191" w:type="dxa"/>
            <w:tcBorders>
              <w:top w:val="nil"/>
              <w:left w:val="nil"/>
              <w:bottom w:val="nil"/>
              <w:right w:val="nil"/>
            </w:tcBorders>
            <w:shd w:val="clear" w:color="auto" w:fill="auto"/>
            <w:noWrap/>
            <w:vAlign w:val="bottom"/>
            <w:hideMark/>
          </w:tcPr>
          <w:p w14:paraId="17CB3363" w14:textId="05CD66B1" w:rsidR="005A343E" w:rsidRPr="005A343E" w:rsidRDefault="002D68ED" w:rsidP="00904865">
            <w:pPr>
              <w:spacing w:after="0" w:line="240" w:lineRule="auto"/>
              <w:ind w:right="170"/>
              <w:jc w:val="right"/>
              <w:rPr>
                <w:rFonts w:ascii="Arial" w:eastAsia="Times New Roman" w:hAnsi="Arial" w:cs="Arial"/>
                <w:color w:val="000000"/>
                <w:sz w:val="16"/>
                <w:szCs w:val="16"/>
                <w:lang w:eastAsia="en-AU"/>
              </w:rPr>
            </w:pPr>
            <w:r>
              <w:rPr>
                <w:rFonts w:ascii="Arial" w:eastAsia="Times New Roman" w:hAnsi="Arial" w:cs="Arial"/>
                <w:color w:val="000000"/>
                <w:sz w:val="16"/>
                <w:szCs w:val="16"/>
                <w:lang w:eastAsia="en-AU"/>
              </w:rPr>
              <w:t>6.2</w:t>
            </w:r>
          </w:p>
        </w:tc>
      </w:tr>
    </w:tbl>
    <w:p w14:paraId="39FE44C2" w14:textId="5D781728" w:rsidR="009F1156" w:rsidRDefault="009F1156" w:rsidP="004052A2">
      <w:pPr>
        <w:pStyle w:val="BodyText"/>
      </w:pPr>
    </w:p>
    <w:p w14:paraId="631D4EDE" w14:textId="77777777" w:rsidR="009F1156" w:rsidRDefault="009F1156">
      <w:pPr>
        <w:rPr>
          <w:rFonts w:ascii="Arial" w:hAnsi="Arial" w:cs="Arial"/>
          <w:color w:val="000000"/>
          <w:szCs w:val="20"/>
        </w:rPr>
      </w:pPr>
      <w:r>
        <w:br w:type="page"/>
      </w:r>
    </w:p>
    <w:p w14:paraId="0E87A4F1" w14:textId="638079D7" w:rsidR="007C5993" w:rsidRDefault="006E612F" w:rsidP="00E7560B">
      <w:pPr>
        <w:pStyle w:val="11Heading2"/>
        <w:numPr>
          <w:ilvl w:val="1"/>
          <w:numId w:val="8"/>
        </w:numPr>
        <w:rPr>
          <w:rFonts w:cs="Arial"/>
        </w:rPr>
      </w:pPr>
      <w:r>
        <w:rPr>
          <w:rFonts w:cs="Arial"/>
          <w:bCs/>
        </w:rPr>
        <w:lastRenderedPageBreak/>
        <w:t xml:space="preserve">Outcome 3: </w:t>
      </w:r>
      <w:r w:rsidR="007C5993" w:rsidRPr="006D3EA5">
        <w:rPr>
          <w:rFonts w:cs="Arial"/>
          <w:bCs/>
        </w:rPr>
        <w:t>Mineral and petroleum industries generating prosperity, safely</w:t>
      </w:r>
    </w:p>
    <w:tbl>
      <w:tblPr>
        <w:tblpPr w:leftFromText="180" w:rightFromText="180" w:vertAnchor="text" w:horzAnchor="margin" w:tblpXSpec="right" w:tblpY="693"/>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7C5993" w:rsidRPr="00F8244B" w14:paraId="2462A640" w14:textId="77777777" w:rsidTr="00730855">
        <w:trPr>
          <w:cantSplit/>
          <w:trHeight w:val="784"/>
        </w:trPr>
        <w:tc>
          <w:tcPr>
            <w:tcW w:w="1729" w:type="pct"/>
            <w:shd w:val="clear" w:color="auto" w:fill="F2F2F2" w:themeFill="background1" w:themeFillShade="F2"/>
            <w:vAlign w:val="center"/>
          </w:tcPr>
          <w:p w14:paraId="04CF62A2" w14:textId="77777777" w:rsidR="007C5993" w:rsidRPr="00F8244B" w:rsidRDefault="007C5993" w:rsidP="003A1D97">
            <w:pPr>
              <w:spacing w:before="120" w:after="120"/>
              <w:rPr>
                <w:rFonts w:ascii="Arial" w:hAnsi="Arial" w:cs="Arial"/>
                <w:sz w:val="23"/>
                <w:szCs w:val="23"/>
              </w:rPr>
            </w:pPr>
            <w:r w:rsidRPr="00F8244B">
              <w:rPr>
                <w:rFonts w:ascii="Arial" w:hAnsi="Arial" w:cs="Arial"/>
                <w:noProof/>
                <w:lang w:eastAsia="en-AU"/>
              </w:rPr>
              <w:drawing>
                <wp:inline distT="0" distB="0" distL="0" distR="0" wp14:anchorId="54054859" wp14:editId="69B557F2">
                  <wp:extent cx="518160" cy="518160"/>
                  <wp:effectExtent l="0" t="0" r="0" b="0"/>
                  <wp:docPr id="1" name="Picture 1"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307935B" w14:textId="7A3C19E3" w:rsidR="007C5993" w:rsidRPr="00F8244B" w:rsidRDefault="562BA290" w:rsidP="003A1D97">
            <w:pPr>
              <w:spacing w:before="120" w:after="120"/>
              <w:jc w:val="center"/>
              <w:rPr>
                <w:rFonts w:ascii="Arial" w:hAnsi="Arial" w:cs="Arial"/>
                <w:color w:val="00ABE6"/>
                <w:sz w:val="18"/>
                <w:szCs w:val="18"/>
              </w:rPr>
            </w:pPr>
            <w:r w:rsidRPr="562BA290">
              <w:rPr>
                <w:rFonts w:ascii="Arial" w:hAnsi="Arial" w:cs="Arial"/>
                <w:color w:val="00ABE6"/>
                <w:sz w:val="18"/>
                <w:szCs w:val="18"/>
              </w:rPr>
              <w:t>$</w:t>
            </w:r>
            <w:r w:rsidRPr="00674605">
              <w:rPr>
                <w:rFonts w:ascii="Arial" w:hAnsi="Arial" w:cs="Arial"/>
                <w:color w:val="00ABE6"/>
                <w:sz w:val="18"/>
                <w:szCs w:val="18"/>
              </w:rPr>
              <w:t>106.4 million</w:t>
            </w:r>
          </w:p>
        </w:tc>
        <w:tc>
          <w:tcPr>
            <w:tcW w:w="1809" w:type="pct"/>
            <w:shd w:val="clear" w:color="auto" w:fill="F2F2F2" w:themeFill="background1" w:themeFillShade="F2"/>
            <w:vAlign w:val="center"/>
          </w:tcPr>
          <w:p w14:paraId="74ACCDDE" w14:textId="77777777" w:rsidR="007C5993" w:rsidRPr="00F8244B" w:rsidRDefault="007C5993" w:rsidP="003A1D97">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7C5993" w:rsidRPr="00F8244B" w14:paraId="7FB0C22E" w14:textId="77777777" w:rsidTr="00730855">
        <w:trPr>
          <w:cantSplit/>
          <w:trHeight w:val="784"/>
        </w:trPr>
        <w:tc>
          <w:tcPr>
            <w:tcW w:w="1729" w:type="pct"/>
            <w:shd w:val="clear" w:color="auto" w:fill="F2F2F2" w:themeFill="background1" w:themeFillShade="F2"/>
            <w:vAlign w:val="center"/>
          </w:tcPr>
          <w:p w14:paraId="7790AE9A" w14:textId="77777777" w:rsidR="007C5993" w:rsidRPr="00F8244B" w:rsidRDefault="007C5993" w:rsidP="003A1D97">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6CFBC20B" wp14:editId="115005C0">
                  <wp:extent cx="525145" cy="525145"/>
                  <wp:effectExtent l="0" t="0" r="8255" b="8255"/>
                  <wp:docPr id="3" name="Picture 3"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0487437C" w14:textId="4B1C69CB" w:rsidR="007C5993" w:rsidRPr="00F8244B" w:rsidRDefault="007C5993" w:rsidP="003A1D97">
            <w:pPr>
              <w:spacing w:before="120" w:after="120"/>
              <w:jc w:val="center"/>
              <w:rPr>
                <w:rFonts w:ascii="Arial" w:hAnsi="Arial" w:cs="Arial"/>
                <w:color w:val="00ABE6"/>
                <w:sz w:val="18"/>
                <w:szCs w:val="18"/>
              </w:rPr>
            </w:pPr>
            <w:r w:rsidRPr="00674605">
              <w:rPr>
                <w:rFonts w:ascii="Arial" w:hAnsi="Arial" w:cs="Arial"/>
                <w:color w:val="00ABE6"/>
                <w:sz w:val="18"/>
                <w:szCs w:val="18"/>
              </w:rPr>
              <w:t>$</w:t>
            </w:r>
            <w:r w:rsidR="00063549" w:rsidRPr="00674605">
              <w:rPr>
                <w:rFonts w:ascii="Arial" w:hAnsi="Arial" w:cs="Arial"/>
                <w:color w:val="00ABE6"/>
                <w:sz w:val="18"/>
                <w:szCs w:val="18"/>
              </w:rPr>
              <w:t>1.1</w:t>
            </w:r>
            <w:r w:rsidRPr="00674605">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54349123" w14:textId="77777777" w:rsidR="007C5993" w:rsidRPr="00F8244B" w:rsidRDefault="007C5993" w:rsidP="003A1D97">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3B165014" w14:textId="77777777" w:rsidR="007C5993" w:rsidRPr="003A0DAC" w:rsidRDefault="007C5993" w:rsidP="006B2C51">
      <w:pPr>
        <w:pStyle w:val="Heading3"/>
        <w:spacing w:before="240" w:after="100"/>
        <w:rPr>
          <w:rFonts w:ascii="Arial" w:hAnsi="Arial" w:cs="Arial"/>
        </w:rPr>
      </w:pPr>
      <w:r w:rsidRPr="003A0DAC">
        <w:rPr>
          <w:rFonts w:ascii="Arial" w:hAnsi="Arial" w:cs="Arial"/>
        </w:rPr>
        <w:t>State Outcome overview and 2020-21 investment</w:t>
      </w:r>
    </w:p>
    <w:p w14:paraId="569ACE1E" w14:textId="0CFE6179" w:rsidR="007C5993" w:rsidRPr="0035164E" w:rsidRDefault="00D42E5D" w:rsidP="004052A2">
      <w:pPr>
        <w:pStyle w:val="BodyText"/>
      </w:pPr>
      <w:r w:rsidRPr="0035164E">
        <w:t>Led by the Mining, Exploration &amp; Geoscience division and the NSW Resources Regulator, t</w:t>
      </w:r>
      <w:r w:rsidR="007C5993" w:rsidRPr="0035164E">
        <w:t xml:space="preserve">his </w:t>
      </w:r>
      <w:r w:rsidR="00EB782F">
        <w:t>O</w:t>
      </w:r>
      <w:r w:rsidR="007C5993" w:rsidRPr="0035164E">
        <w:t>utcome’s focus is to support and grow responsible mining and exploration across regional N</w:t>
      </w:r>
      <w:r w:rsidR="00B243DD">
        <w:t xml:space="preserve">ew </w:t>
      </w:r>
      <w:r w:rsidR="007C5993" w:rsidRPr="0035164E">
        <w:t>S</w:t>
      </w:r>
      <w:r w:rsidR="00B243DD">
        <w:t xml:space="preserve">outh </w:t>
      </w:r>
      <w:r w:rsidR="007C5993" w:rsidRPr="0035164E">
        <w:t>W</w:t>
      </w:r>
      <w:r w:rsidR="00B243DD">
        <w:t>ales</w:t>
      </w:r>
      <w:r w:rsidR="007C5993" w:rsidRPr="0035164E">
        <w:t>. Our mission is to make N</w:t>
      </w:r>
      <w:r w:rsidR="00C41043">
        <w:t xml:space="preserve">ew </w:t>
      </w:r>
      <w:r w:rsidR="007C5993" w:rsidRPr="0035164E">
        <w:t>S</w:t>
      </w:r>
      <w:r w:rsidR="00C41043">
        <w:t xml:space="preserve">outh </w:t>
      </w:r>
      <w:r w:rsidR="007C5993" w:rsidRPr="0035164E">
        <w:t>W</w:t>
      </w:r>
      <w:r w:rsidR="00C41043">
        <w:t>ales</w:t>
      </w:r>
      <w:r w:rsidR="007C5993" w:rsidRPr="0035164E">
        <w:t xml:space="preserve"> a preferred investment destination for exploration and mining through leading practice policy and legislation, excellence in geoscience</w:t>
      </w:r>
      <w:r w:rsidR="738E3BFE" w:rsidRPr="0035164E">
        <w:t xml:space="preserve">, </w:t>
      </w:r>
      <w:r w:rsidR="007C5993" w:rsidRPr="0035164E">
        <w:t>efficient titles assessment</w:t>
      </w:r>
      <w:r w:rsidR="7C0BEFE1" w:rsidRPr="0035164E">
        <w:t xml:space="preserve"> and proactive regulation. </w:t>
      </w:r>
      <w:r w:rsidR="007C5993" w:rsidRPr="0035164E">
        <w:t>The sustainable growth of the minerals industry creates opportunity for economic growth and meaningful employment opportunities for the people of N</w:t>
      </w:r>
      <w:r w:rsidR="00C41043">
        <w:t xml:space="preserve">ew </w:t>
      </w:r>
      <w:r w:rsidR="007C5993" w:rsidRPr="0035164E">
        <w:t>S</w:t>
      </w:r>
      <w:r w:rsidR="00C41043">
        <w:t xml:space="preserve">outh </w:t>
      </w:r>
      <w:r w:rsidR="007C5993" w:rsidRPr="0035164E">
        <w:t>W</w:t>
      </w:r>
      <w:r w:rsidR="00C41043">
        <w:t>ales</w:t>
      </w:r>
      <w:r w:rsidR="007C5993" w:rsidRPr="0035164E">
        <w:t>.</w:t>
      </w:r>
    </w:p>
    <w:p w14:paraId="23A55CE3" w14:textId="1E62F78C" w:rsidR="00846E4B" w:rsidRPr="0012057C" w:rsidRDefault="00846E4B" w:rsidP="006B2C51">
      <w:pPr>
        <w:pStyle w:val="Heading3"/>
        <w:spacing w:before="240" w:after="100"/>
        <w:rPr>
          <w:rFonts w:ascii="Arial" w:hAnsi="Arial" w:cs="Arial"/>
        </w:rPr>
      </w:pPr>
      <w:r w:rsidRPr="00960516">
        <w:rPr>
          <w:rFonts w:ascii="Arial" w:hAnsi="Arial" w:cs="Arial"/>
        </w:rPr>
        <w:t xml:space="preserve">2020-21 </w:t>
      </w:r>
      <w:r w:rsidR="006E612F">
        <w:rPr>
          <w:rFonts w:ascii="Arial" w:hAnsi="Arial" w:cs="Arial"/>
        </w:rPr>
        <w:t xml:space="preserve">State Outcome </w:t>
      </w:r>
      <w:r w:rsidRPr="00960516">
        <w:rPr>
          <w:rFonts w:ascii="Arial" w:hAnsi="Arial" w:cs="Arial"/>
        </w:rPr>
        <w:t xml:space="preserve">Budget </w:t>
      </w:r>
      <w:r w:rsidR="00B019CA">
        <w:rPr>
          <w:rFonts w:ascii="Arial" w:hAnsi="Arial" w:cs="Arial"/>
        </w:rPr>
        <w:t>h</w:t>
      </w:r>
      <w:r w:rsidRPr="0012057C">
        <w:rPr>
          <w:rFonts w:ascii="Arial" w:hAnsi="Arial" w:cs="Arial"/>
        </w:rPr>
        <w:t xml:space="preserve">ighlights </w:t>
      </w:r>
    </w:p>
    <w:p w14:paraId="61680E5F" w14:textId="1CF52036" w:rsidR="00846E4B" w:rsidRPr="00960516" w:rsidRDefault="562BA290" w:rsidP="004052A2">
      <w:pPr>
        <w:pStyle w:val="BodyText"/>
      </w:pPr>
      <w:r w:rsidRPr="562BA290">
        <w:t xml:space="preserve">In 2020-21, the Regional NSW </w:t>
      </w:r>
      <w:r w:rsidR="008E3560">
        <w:t>Cluster</w:t>
      </w:r>
      <w:r w:rsidRPr="562BA290">
        <w:t xml:space="preserve"> will </w:t>
      </w:r>
      <w:r w:rsidRPr="00B419A3">
        <w:t>invest $107.5 million ($106.4 million recurrent expenses and $1.1 million capital expenditure) in this</w:t>
      </w:r>
      <w:r w:rsidRPr="562BA290">
        <w:t xml:space="preserve"> </w:t>
      </w:r>
      <w:r w:rsidR="00B019CA">
        <w:t>O</w:t>
      </w:r>
      <w:r w:rsidRPr="562BA290">
        <w:t>utcome, including:</w:t>
      </w:r>
    </w:p>
    <w:p w14:paraId="6FFC2C46" w14:textId="0A37330A" w:rsidR="00846E4B" w:rsidRPr="001E741B" w:rsidRDefault="562BA290" w:rsidP="004052A2">
      <w:pPr>
        <w:pStyle w:val="Bullet1"/>
      </w:pPr>
      <w:r w:rsidRPr="562BA290">
        <w:t>$26.8 million ($108.1 million expenses and $1.0 million capital over four years) to</w:t>
      </w:r>
      <w:r w:rsidR="00874789">
        <w:t xml:space="preserve"> set the strategic policy direction for the industry and</w:t>
      </w:r>
      <w:r w:rsidRPr="562BA290">
        <w:t xml:space="preserve"> provide world class geoscientific information to support mineral and petroleum exploration </w:t>
      </w:r>
      <w:r w:rsidR="00874789">
        <w:t xml:space="preserve">and mining, </w:t>
      </w:r>
      <w:r w:rsidRPr="562BA290">
        <w:t xml:space="preserve">including $45.2 million over four years from the Coal Innovation Fund for </w:t>
      </w:r>
      <w:r w:rsidR="00874789">
        <w:t xml:space="preserve">research and investment in </w:t>
      </w:r>
      <w:r w:rsidRPr="562BA290">
        <w:t xml:space="preserve">carbon </w:t>
      </w:r>
      <w:r w:rsidR="00874789">
        <w:t xml:space="preserve">capture, use and </w:t>
      </w:r>
      <w:r w:rsidRPr="562BA290">
        <w:t>storage and low emissions coal technology projects</w:t>
      </w:r>
    </w:p>
    <w:p w14:paraId="383B6A7F" w14:textId="697AB52C" w:rsidR="00846E4B" w:rsidRPr="00960516" w:rsidRDefault="00846E4B" w:rsidP="004052A2">
      <w:pPr>
        <w:pStyle w:val="Bullet1"/>
      </w:pPr>
      <w:r w:rsidRPr="003E17DF">
        <w:t>$</w:t>
      </w:r>
      <w:r w:rsidR="0046141D" w:rsidRPr="003E17DF">
        <w:t>26.4</w:t>
      </w:r>
      <w:r w:rsidRPr="003E17DF">
        <w:t xml:space="preserve"> million</w:t>
      </w:r>
      <w:r w:rsidRPr="001E741B">
        <w:t xml:space="preserve"> ($</w:t>
      </w:r>
      <w:r w:rsidR="0046141D" w:rsidRPr="001E741B">
        <w:t>104.8</w:t>
      </w:r>
      <w:r w:rsidRPr="001E741B">
        <w:t xml:space="preserve"> million expenses and $1.0 million capital over four years) to regulate mine and</w:t>
      </w:r>
      <w:r w:rsidRPr="0035164E">
        <w:t xml:space="preserve"> petroleum site safety in relation to Work Health and Safety compliance and enforcement</w:t>
      </w:r>
    </w:p>
    <w:p w14:paraId="5A7167B9" w14:textId="1177CA67" w:rsidR="00846E4B" w:rsidRPr="00960516" w:rsidRDefault="562BA290" w:rsidP="004052A2">
      <w:pPr>
        <w:pStyle w:val="Bullet1"/>
      </w:pPr>
      <w:r w:rsidRPr="562BA290">
        <w:t xml:space="preserve">$11.3 million ($44.8 million expenses and $1.0 million capital over four years) to deliver robust assessment of </w:t>
      </w:r>
      <w:r w:rsidR="009960DF">
        <w:t xml:space="preserve">exploration and mining </w:t>
      </w:r>
      <w:r w:rsidRPr="562BA290">
        <w:t>titles applications</w:t>
      </w:r>
      <w:r w:rsidR="009960DF">
        <w:t xml:space="preserve"> and</w:t>
      </w:r>
      <w:r w:rsidRPr="562BA290">
        <w:t xml:space="preserve"> calculation of quarterly royalty returns for collection by </w:t>
      </w:r>
      <w:r w:rsidR="009960DF">
        <w:t>Revenue NSW</w:t>
      </w:r>
    </w:p>
    <w:p w14:paraId="4875EFA2" w14:textId="21457EB4" w:rsidR="00A05CEC" w:rsidRPr="00122484" w:rsidRDefault="00846E4B" w:rsidP="004052A2">
      <w:pPr>
        <w:pStyle w:val="Bullet1"/>
      </w:pPr>
      <w:r w:rsidRPr="003E17DF">
        <w:t xml:space="preserve">$6.6 million </w:t>
      </w:r>
      <w:r w:rsidRPr="0046141D">
        <w:t>($</w:t>
      </w:r>
      <w:r w:rsidRPr="0035164E">
        <w:t xml:space="preserve">26.1 million expenses over four years) to undertake regulatory compliance inspections and investigate instances of non-compliance of the </w:t>
      </w:r>
      <w:r w:rsidRPr="0035164E">
        <w:rPr>
          <w:i/>
        </w:rPr>
        <w:t>Mining Act</w:t>
      </w:r>
      <w:r w:rsidR="00851E27" w:rsidRPr="0035164E">
        <w:rPr>
          <w:i/>
        </w:rPr>
        <w:t xml:space="preserve"> 1992</w:t>
      </w:r>
      <w:r w:rsidR="001404F1" w:rsidRPr="0035164E">
        <w:rPr>
          <w:i/>
        </w:rPr>
        <w:t>.</w:t>
      </w:r>
    </w:p>
    <w:p w14:paraId="021A7D49" w14:textId="7100D676" w:rsidR="00F165CB" w:rsidRDefault="00F165CB">
      <w:pPr>
        <w:rPr>
          <w:szCs w:val="23"/>
        </w:rPr>
      </w:pPr>
      <w:r>
        <w:rPr>
          <w:szCs w:val="23"/>
        </w:rPr>
        <w:br w:type="page"/>
      </w:r>
    </w:p>
    <w:p w14:paraId="370AA2DF" w14:textId="35411D4B" w:rsidR="007C5993" w:rsidRDefault="007C5993" w:rsidP="006B2C51">
      <w:pPr>
        <w:pStyle w:val="Heading3"/>
        <w:spacing w:before="240" w:after="100"/>
        <w:rPr>
          <w:rFonts w:ascii="Arial" w:hAnsi="Arial" w:cs="Arial"/>
        </w:rPr>
      </w:pPr>
      <w:r w:rsidRPr="00DC6435">
        <w:rPr>
          <w:rFonts w:ascii="Arial" w:hAnsi="Arial" w:cs="Arial"/>
        </w:rPr>
        <w:lastRenderedPageBreak/>
        <w:t xml:space="preserve">Key performance insights </w:t>
      </w:r>
    </w:p>
    <w:p w14:paraId="217318C1" w14:textId="77777777" w:rsidR="00B419A3" w:rsidRPr="00AF355E" w:rsidRDefault="00B419A3" w:rsidP="004052A2">
      <w:pPr>
        <w:pStyle w:val="BodyText"/>
      </w:pPr>
      <w:bookmarkStart w:id="10" w:name="_Hlk54597328"/>
      <w:r w:rsidRPr="00AF355E">
        <w:t xml:space="preserve">This section provides analysis and insights on key Outcome Indicators for this State Outcome. </w:t>
      </w:r>
    </w:p>
    <w:p w14:paraId="0FE45CDE" w14:textId="5368D46B" w:rsidR="00FE2DAC" w:rsidRPr="00AF355E" w:rsidRDefault="007C5993" w:rsidP="004727C1">
      <w:pPr>
        <w:pStyle w:val="Heading4"/>
      </w:pPr>
      <w:r w:rsidRPr="00AF355E">
        <w:t xml:space="preserve">Efficient and effective </w:t>
      </w:r>
      <w:r w:rsidR="00470D14" w:rsidRPr="00AF355E">
        <w:t xml:space="preserve">mining </w:t>
      </w:r>
      <w:r w:rsidRPr="00AF355E">
        <w:t>titles assessment performance as measured against industry agreed KPIs for titles assessment activity over 12 months</w:t>
      </w:r>
    </w:p>
    <w:bookmarkEnd w:id="10"/>
    <w:p w14:paraId="401E0BB7" w14:textId="6CAB6D07" w:rsidR="009D64A9" w:rsidRPr="00AF355E" w:rsidRDefault="00D119A7" w:rsidP="004052A2">
      <w:pPr>
        <w:pStyle w:val="BodyText"/>
      </w:pPr>
      <w:r w:rsidRPr="00AF355E">
        <w:t>This</w:t>
      </w:r>
      <w:r w:rsidR="009960DF" w:rsidRPr="00AF355E">
        <w:t xml:space="preserve"> indicator tracks the </w:t>
      </w:r>
      <w:r w:rsidR="002038FA" w:rsidRPr="00AF355E">
        <w:t xml:space="preserve">output of programs aimed at enhancing the use of the State’s key natural resources, to support their sustainability, use and economic productivity. The titles assessment indicator tracks the </w:t>
      </w:r>
      <w:r w:rsidR="009960DF" w:rsidRPr="00AF355E">
        <w:t>performance of Mining, Exploration and Geoscience in assessing and determining mineral and petroleum title applications and renewals. It measure</w:t>
      </w:r>
      <w:r w:rsidRPr="00AF355E">
        <w:t>s</w:t>
      </w:r>
      <w:r w:rsidR="009960DF" w:rsidRPr="00AF355E">
        <w:t xml:space="preserve"> the Department’s effectiveness in facilitating the responsible extraction of the State’s mineral and petroleum resources. </w:t>
      </w:r>
    </w:p>
    <w:p w14:paraId="7CCDFAEC" w14:textId="671FB35F" w:rsidR="00887C2D" w:rsidRPr="0035164E" w:rsidRDefault="009960DF" w:rsidP="004052A2">
      <w:pPr>
        <w:pStyle w:val="BodyText"/>
      </w:pPr>
      <w:r w:rsidRPr="00AF355E">
        <w:t xml:space="preserve">The </w:t>
      </w:r>
      <w:r w:rsidR="562BA290" w:rsidRPr="00AF355E">
        <w:t xml:space="preserve">growth of the minerals industry helps to ensure New South Wales is well placed to benefit from the increasing global demand for metals, create jobs and capitalise on </w:t>
      </w:r>
      <w:r w:rsidRPr="00AF355E">
        <w:t xml:space="preserve">opportunities </w:t>
      </w:r>
      <w:r w:rsidR="562BA290" w:rsidRPr="00AF355E">
        <w:t xml:space="preserve">for economic </w:t>
      </w:r>
      <w:r w:rsidRPr="00AF355E">
        <w:t>development</w:t>
      </w:r>
      <w:r w:rsidR="562BA290" w:rsidRPr="00AF355E">
        <w:t xml:space="preserve">. </w:t>
      </w:r>
      <w:r w:rsidR="00CC43E2" w:rsidRPr="00AF355E">
        <w:rPr>
          <w:rFonts w:eastAsia="Times New Roman"/>
          <w:szCs w:val="23"/>
        </w:rPr>
        <w:t xml:space="preserve">An average of 94.3 per cent performance </w:t>
      </w:r>
      <w:r w:rsidR="00CC43E2" w:rsidRPr="00AF355E">
        <w:t xml:space="preserve">against industry agreed key performance indicator of 85 per cent was achieved for titles assessment in 2019-20. </w:t>
      </w:r>
      <w:r w:rsidR="000F1616" w:rsidRPr="00AF355E">
        <w:t xml:space="preserve">Performance against this </w:t>
      </w:r>
      <w:r w:rsidR="00260F10" w:rsidRPr="00AF355E">
        <w:t>indicator</w:t>
      </w:r>
      <w:r w:rsidR="00B154A6" w:rsidRPr="00AF355E">
        <w:t xml:space="preserve"> </w:t>
      </w:r>
      <w:r w:rsidR="000F1616" w:rsidRPr="00AF355E">
        <w:t xml:space="preserve">is </w:t>
      </w:r>
      <w:r w:rsidR="00B154A6" w:rsidRPr="00AF355E">
        <w:t>already</w:t>
      </w:r>
      <w:r w:rsidR="00334CD3" w:rsidRPr="00AF355E">
        <w:t xml:space="preserve"> exceeding the target </w:t>
      </w:r>
      <w:r w:rsidR="00753652" w:rsidRPr="00AF355E">
        <w:t>of 85</w:t>
      </w:r>
      <w:r w:rsidR="00FB7333" w:rsidRPr="00AF355E">
        <w:t xml:space="preserve"> per cent</w:t>
      </w:r>
      <w:r w:rsidR="000B3C1C" w:rsidRPr="00AF355E">
        <w:t xml:space="preserve"> for 2020-21</w:t>
      </w:r>
      <w:r w:rsidR="00B154A6" w:rsidRPr="00AF355E">
        <w:t>.</w:t>
      </w:r>
      <w:r w:rsidR="00B154A6">
        <w:t xml:space="preserve"> </w:t>
      </w:r>
    </w:p>
    <w:p w14:paraId="5642994B" w14:textId="31C7E219" w:rsidR="008D5C72" w:rsidRPr="00F2275D" w:rsidRDefault="008D5C72" w:rsidP="00C763D1">
      <w:pPr>
        <w:pStyle w:val="Chart4X"/>
        <w:ind w:left="1134" w:hanging="1134"/>
        <w:rPr>
          <w:lang w:eastAsia="en-AU"/>
        </w:rPr>
      </w:pPr>
      <w:r>
        <w:rPr>
          <w:lang w:eastAsia="en-AU"/>
        </w:rPr>
        <w:t>Mining t</w:t>
      </w:r>
      <w:r w:rsidRPr="00F2275D">
        <w:rPr>
          <w:lang w:eastAsia="en-AU"/>
        </w:rPr>
        <w:t>itles assessment performance</w:t>
      </w:r>
    </w:p>
    <w:p w14:paraId="629A66A0" w14:textId="3A97BA47" w:rsidR="00820EC7" w:rsidRDefault="005E1BAF" w:rsidP="00C763D1">
      <w:pPr>
        <w:autoSpaceDE w:val="0"/>
        <w:autoSpaceDN w:val="0"/>
        <w:adjustRightInd w:val="0"/>
        <w:spacing w:after="0" w:line="240" w:lineRule="auto"/>
        <w:jc w:val="center"/>
        <w:rPr>
          <w:rFonts w:ascii="Arial" w:eastAsia="Times New Roman" w:hAnsi="Arial" w:cs="Arial"/>
          <w:sz w:val="23"/>
          <w:szCs w:val="20"/>
        </w:rPr>
      </w:pPr>
      <w:r>
        <w:rPr>
          <w:noProof/>
          <w:lang w:eastAsia="en-AU"/>
        </w:rPr>
        <w:drawing>
          <wp:inline distT="0" distB="0" distL="0" distR="0" wp14:anchorId="2931046F" wp14:editId="7EA9C75C">
            <wp:extent cx="4794250" cy="2562225"/>
            <wp:effectExtent l="0" t="0" r="0" b="0"/>
            <wp:docPr id="27" name="Chart 27" descr="Chart 6.9: Mining titles assessment performance">
              <a:extLst xmlns:a="http://schemas.openxmlformats.org/drawingml/2006/main">
                <a:ext uri="{FF2B5EF4-FFF2-40B4-BE49-F238E27FC236}">
                  <a16:creationId xmlns:a16="http://schemas.microsoft.com/office/drawing/2014/main" id="{5A76A50D-C4BA-4FC3-8BFE-F654B8D293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B44B44" w14:textId="77777777" w:rsidR="00C47898" w:rsidRPr="00190963" w:rsidRDefault="00C47898" w:rsidP="00C47898">
      <w:pPr>
        <w:spacing w:after="0" w:line="240" w:lineRule="auto"/>
        <w:rPr>
          <w:rFonts w:ascii="Arial" w:eastAsia="Times New Roman" w:hAnsi="Arial" w:cs="Arial"/>
          <w:sz w:val="17"/>
          <w:szCs w:val="17"/>
        </w:rPr>
      </w:pPr>
      <w:r w:rsidRPr="00190963">
        <w:rPr>
          <w:rFonts w:ascii="Arial" w:eastAsia="Times New Roman" w:hAnsi="Arial" w:cs="Arial"/>
          <w:sz w:val="17"/>
          <w:szCs w:val="17"/>
        </w:rPr>
        <w:t>Note: A 2020-21 forecast is provided as well as the 2020-21 target.</w:t>
      </w:r>
    </w:p>
    <w:p w14:paraId="69D20FC8" w14:textId="77777777" w:rsidR="00C47898" w:rsidRPr="0035164E" w:rsidRDefault="00C47898" w:rsidP="00C763D1">
      <w:pPr>
        <w:autoSpaceDE w:val="0"/>
        <w:autoSpaceDN w:val="0"/>
        <w:adjustRightInd w:val="0"/>
        <w:spacing w:after="0" w:line="240" w:lineRule="auto"/>
        <w:jc w:val="center"/>
        <w:rPr>
          <w:rFonts w:ascii="Arial" w:eastAsia="Times New Roman" w:hAnsi="Arial" w:cs="Arial"/>
          <w:sz w:val="23"/>
          <w:szCs w:val="20"/>
        </w:rPr>
      </w:pPr>
    </w:p>
    <w:p w14:paraId="03218CDB" w14:textId="26911157" w:rsidR="00FE2DAC" w:rsidRPr="0035164E" w:rsidRDefault="007C5993" w:rsidP="004727C1">
      <w:pPr>
        <w:pStyle w:val="Heading4"/>
      </w:pPr>
      <w:r w:rsidRPr="0035164E">
        <w:t>N</w:t>
      </w:r>
      <w:r w:rsidR="00A361C5">
        <w:t xml:space="preserve">ew </w:t>
      </w:r>
      <w:r w:rsidRPr="0035164E">
        <w:t>S</w:t>
      </w:r>
      <w:r w:rsidR="00A361C5">
        <w:t xml:space="preserve">outh </w:t>
      </w:r>
      <w:r w:rsidRPr="0035164E">
        <w:t>W</w:t>
      </w:r>
      <w:r w:rsidR="00A361C5">
        <w:t>ales</w:t>
      </w:r>
      <w:r w:rsidRPr="0035164E">
        <w:t xml:space="preserve"> to average over 10</w:t>
      </w:r>
      <w:r w:rsidR="009A16BF" w:rsidRPr="0035164E">
        <w:t xml:space="preserve"> per cent</w:t>
      </w:r>
      <w:r w:rsidRPr="0035164E">
        <w:t xml:space="preserve"> share of Australian mineral exploration expenditure in Australia over five years to 2025</w:t>
      </w:r>
    </w:p>
    <w:p w14:paraId="02F3329A" w14:textId="6AEC6C2E" w:rsidR="00977839" w:rsidRDefault="00B40FA4" w:rsidP="004052A2">
      <w:pPr>
        <w:pStyle w:val="BodyText"/>
      </w:pPr>
      <w:r w:rsidRPr="0035164E">
        <w:t>This indicator t</w:t>
      </w:r>
      <w:r w:rsidR="007C5993" w:rsidRPr="0035164E">
        <w:t xml:space="preserve">racks the output of programs </w:t>
      </w:r>
      <w:r w:rsidR="00A45909" w:rsidRPr="0035164E">
        <w:t>aimed</w:t>
      </w:r>
      <w:r w:rsidR="007C5993" w:rsidRPr="0035164E">
        <w:t xml:space="preserve"> to enhance the use of </w:t>
      </w:r>
      <w:r w:rsidR="00592C0F">
        <w:t xml:space="preserve">the State’s </w:t>
      </w:r>
      <w:r w:rsidR="007C5993" w:rsidRPr="0035164E">
        <w:t xml:space="preserve">key natural resources, to support their sustainability, use and economic productivity. </w:t>
      </w:r>
      <w:r w:rsidR="00A45909" w:rsidRPr="0035164E">
        <w:t xml:space="preserve">The </w:t>
      </w:r>
      <w:r w:rsidR="00592C0F">
        <w:t>State’s</w:t>
      </w:r>
      <w:r w:rsidR="00592C0F" w:rsidRPr="0035164E">
        <w:t xml:space="preserve"> </w:t>
      </w:r>
      <w:r w:rsidR="00A45909" w:rsidRPr="0035164E">
        <w:t xml:space="preserve">share of exploration expenditure is positively correlated </w:t>
      </w:r>
      <w:r w:rsidR="002C20F1">
        <w:t>with</w:t>
      </w:r>
      <w:r w:rsidR="00FF63FA">
        <w:t xml:space="preserve"> </w:t>
      </w:r>
      <w:r w:rsidR="00A45909" w:rsidRPr="0035164E">
        <w:t>mineral and petroleum discovery and mining investment.</w:t>
      </w:r>
      <w:r w:rsidR="00645CA8" w:rsidRPr="0035164E">
        <w:t xml:space="preserve"> </w:t>
      </w:r>
    </w:p>
    <w:p w14:paraId="5ABE8771" w14:textId="60F71F67" w:rsidR="00A45909" w:rsidRDefault="006D1717" w:rsidP="004052A2">
      <w:pPr>
        <w:pStyle w:val="BodyText"/>
      </w:pPr>
      <w:r>
        <w:t>Performance against t</w:t>
      </w:r>
      <w:r w:rsidR="007C5993" w:rsidRPr="0035164E">
        <w:t xml:space="preserve">his indicator is </w:t>
      </w:r>
      <w:r w:rsidR="00A45909" w:rsidRPr="0035164E">
        <w:t>well</w:t>
      </w:r>
      <w:r w:rsidR="007C5993" w:rsidRPr="0035164E">
        <w:t xml:space="preserve"> above expectations </w:t>
      </w:r>
      <w:r w:rsidR="009960DF">
        <w:t>with an</w:t>
      </w:r>
      <w:r w:rsidR="009960DF" w:rsidRPr="0035164E">
        <w:t xml:space="preserve"> </w:t>
      </w:r>
      <w:r w:rsidR="007C5993" w:rsidRPr="0035164E">
        <w:t>11.2</w:t>
      </w:r>
      <w:r w:rsidR="0096222A" w:rsidRPr="0035164E">
        <w:t xml:space="preserve"> per cent</w:t>
      </w:r>
      <w:r w:rsidR="007C5993" w:rsidRPr="0035164E">
        <w:t xml:space="preserve"> </w:t>
      </w:r>
      <w:r w:rsidR="009960DF">
        <w:t xml:space="preserve">share of Australian mineral exploration expenditure </w:t>
      </w:r>
      <w:r w:rsidR="007C5993" w:rsidRPr="0035164E">
        <w:t>in</w:t>
      </w:r>
      <w:r w:rsidR="00A45909" w:rsidRPr="0035164E">
        <w:t xml:space="preserve"> the</w:t>
      </w:r>
      <w:r w:rsidR="007C5993" w:rsidRPr="0035164E">
        <w:t xml:space="preserve"> 2019 calendar year</w:t>
      </w:r>
      <w:r w:rsidR="00120BF4">
        <w:t>.</w:t>
      </w:r>
      <w:r w:rsidR="007C5993" w:rsidRPr="0035164E">
        <w:t xml:space="preserve"> </w:t>
      </w:r>
      <w:r w:rsidR="00977839">
        <w:t>This represents a n</w:t>
      </w:r>
      <w:r w:rsidR="007C5993" w:rsidRPr="0035164E">
        <w:t>ew record expenditure of $297</w:t>
      </w:r>
      <w:r w:rsidR="00405DFD">
        <w:t>.0</w:t>
      </w:r>
      <w:r w:rsidR="007C5993" w:rsidRPr="0035164E">
        <w:t xml:space="preserve"> million in 2019</w:t>
      </w:r>
      <w:r w:rsidR="00653D5E">
        <w:t>,</w:t>
      </w:r>
      <w:r w:rsidR="00BE4E47">
        <w:t xml:space="preserve"> which</w:t>
      </w:r>
      <w:r w:rsidR="00653D5E">
        <w:t xml:space="preserve"> </w:t>
      </w:r>
      <w:r w:rsidR="007C5993" w:rsidRPr="0035164E">
        <w:t>was</w:t>
      </w:r>
      <w:r w:rsidR="00977839">
        <w:t>,</w:t>
      </w:r>
      <w:r w:rsidR="00653D5E">
        <w:t xml:space="preserve"> </w:t>
      </w:r>
      <w:r w:rsidR="007C5993" w:rsidRPr="0035164E">
        <w:t>$50</w:t>
      </w:r>
      <w:r w:rsidR="00025350">
        <w:t>.0</w:t>
      </w:r>
      <w:r w:rsidR="007C5993" w:rsidRPr="0035164E">
        <w:t xml:space="preserve"> million higher than the previous record expenditure of $247</w:t>
      </w:r>
      <w:r w:rsidR="00025350">
        <w:t>.0</w:t>
      </w:r>
      <w:r w:rsidR="007C5993" w:rsidRPr="0035164E">
        <w:t xml:space="preserve"> million in </w:t>
      </w:r>
      <w:r w:rsidR="00977839">
        <w:t xml:space="preserve">the </w:t>
      </w:r>
      <w:r w:rsidR="007C5993" w:rsidRPr="0035164E">
        <w:t>2018</w:t>
      </w:r>
      <w:r w:rsidR="00977839">
        <w:t xml:space="preserve"> calendar year</w:t>
      </w:r>
      <w:r w:rsidR="00A45909" w:rsidRPr="0035164E">
        <w:t>.</w:t>
      </w:r>
    </w:p>
    <w:p w14:paraId="47D41211" w14:textId="77777777" w:rsidR="003D22DB" w:rsidRDefault="003D22DB" w:rsidP="007C5993">
      <w:pPr>
        <w:rPr>
          <w:rFonts w:ascii="Arial" w:eastAsia="Times New Roman" w:hAnsi="Arial" w:cs="Arial"/>
          <w:sz w:val="23"/>
          <w:szCs w:val="23"/>
        </w:rPr>
      </w:pPr>
    </w:p>
    <w:p w14:paraId="7E72B6A9" w14:textId="77777777" w:rsidR="003D22DB" w:rsidRDefault="003D22DB" w:rsidP="007C5993">
      <w:pPr>
        <w:rPr>
          <w:rFonts w:ascii="Arial" w:eastAsia="Times New Roman" w:hAnsi="Arial" w:cs="Arial"/>
          <w:sz w:val="23"/>
          <w:szCs w:val="23"/>
        </w:rPr>
      </w:pPr>
    </w:p>
    <w:p w14:paraId="7735E269" w14:textId="77777777" w:rsidR="00D56460" w:rsidRDefault="00D56460">
      <w:pPr>
        <w:rPr>
          <w:rFonts w:ascii="Arial" w:eastAsia="Times New Roman" w:hAnsi="Arial" w:cs="Arial"/>
          <w:b/>
          <w:bCs/>
          <w:color w:val="000000"/>
          <w:sz w:val="17"/>
          <w:szCs w:val="17"/>
          <w:lang w:eastAsia="en-AU"/>
        </w:rPr>
      </w:pPr>
      <w:r>
        <w:rPr>
          <w:rFonts w:ascii="Arial" w:eastAsia="Times New Roman" w:hAnsi="Arial" w:cs="Arial"/>
          <w:b/>
          <w:bCs/>
          <w:color w:val="000000"/>
          <w:sz w:val="17"/>
          <w:szCs w:val="17"/>
          <w:lang w:eastAsia="en-AU"/>
        </w:rPr>
        <w:br w:type="page"/>
      </w:r>
    </w:p>
    <w:p w14:paraId="6BC680DB" w14:textId="3A448F48" w:rsidR="008D5C72" w:rsidRDefault="008D5C72" w:rsidP="00C763D1">
      <w:pPr>
        <w:pStyle w:val="Chart4X"/>
        <w:tabs>
          <w:tab w:val="clear" w:pos="1134"/>
        </w:tabs>
        <w:ind w:left="1134" w:hanging="1134"/>
        <w:rPr>
          <w:sz w:val="23"/>
          <w:szCs w:val="23"/>
        </w:rPr>
      </w:pPr>
      <w:r w:rsidRPr="00F2275D">
        <w:rPr>
          <w:lang w:eastAsia="en-AU"/>
        </w:rPr>
        <w:lastRenderedPageBreak/>
        <w:t>Proportion of NSW’s share of Australian mineral exploration expenditure in Australia</w:t>
      </w:r>
    </w:p>
    <w:p w14:paraId="6E5786AF" w14:textId="1460F907" w:rsidR="006B2C51" w:rsidRDefault="005F4797" w:rsidP="00C763D1">
      <w:pPr>
        <w:jc w:val="center"/>
        <w:rPr>
          <w:rFonts w:ascii="Arial" w:eastAsia="Times New Roman" w:hAnsi="Arial" w:cs="Arial"/>
          <w:b/>
          <w:color w:val="1F497D"/>
          <w:sz w:val="23"/>
          <w:szCs w:val="23"/>
        </w:rPr>
      </w:pPr>
      <w:r>
        <w:rPr>
          <w:noProof/>
          <w:lang w:eastAsia="en-AU"/>
        </w:rPr>
        <w:drawing>
          <wp:inline distT="0" distB="0" distL="0" distR="0" wp14:anchorId="062278AD" wp14:editId="6B5BAEC4">
            <wp:extent cx="4794250" cy="2562225"/>
            <wp:effectExtent l="0" t="0" r="0" b="0"/>
            <wp:docPr id="28" name="Chart 28" descr="Chart 6.10: Proportion of NSW’s share of Australian mineral exploration expenditure in Australia">
              <a:extLst xmlns:a="http://schemas.openxmlformats.org/drawingml/2006/main">
                <a:ext uri="{FF2B5EF4-FFF2-40B4-BE49-F238E27FC236}">
                  <a16:creationId xmlns:a16="http://schemas.microsoft.com/office/drawing/2014/main" id="{4F46BA95-1DE9-445D-A5BD-7DF11F814D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724228" w14:textId="08D4FF6C" w:rsidR="00FE2DAC" w:rsidRPr="0035164E" w:rsidRDefault="007C5993" w:rsidP="0034799A">
      <w:pPr>
        <w:pStyle w:val="Heading4"/>
      </w:pPr>
      <w:r w:rsidRPr="0035164E">
        <w:t>Proportion of high risk and priority mine sites proactively inspected for compliance with work health and safety (WHS) &amp; Mining Act requirement</w:t>
      </w:r>
      <w:r w:rsidR="00FE2DAC" w:rsidRPr="0035164E">
        <w:t>s</w:t>
      </w:r>
      <w:r w:rsidRPr="0035164E">
        <w:t xml:space="preserve"> </w:t>
      </w:r>
    </w:p>
    <w:p w14:paraId="4AB96AF9" w14:textId="0B717703" w:rsidR="00034E8E" w:rsidRDefault="00B40FA4" w:rsidP="004052A2">
      <w:pPr>
        <w:pStyle w:val="BodyText"/>
      </w:pPr>
      <w:r w:rsidRPr="0035164E">
        <w:t>This indicator t</w:t>
      </w:r>
      <w:r w:rsidR="007C5993" w:rsidRPr="0035164E">
        <w:t>racks the number of sites which the N</w:t>
      </w:r>
      <w:r w:rsidR="00034E8E">
        <w:t xml:space="preserve">ew </w:t>
      </w:r>
      <w:r w:rsidR="007C5993" w:rsidRPr="0035164E">
        <w:t>S</w:t>
      </w:r>
      <w:r w:rsidR="00034E8E">
        <w:t xml:space="preserve">outh </w:t>
      </w:r>
      <w:r w:rsidR="007C5993" w:rsidRPr="0035164E">
        <w:t>W</w:t>
      </w:r>
      <w:r w:rsidR="00034E8E">
        <w:t>ales</w:t>
      </w:r>
      <w:r w:rsidR="007C5993" w:rsidRPr="0035164E">
        <w:t xml:space="preserve"> Resources Regulator considered to be high</w:t>
      </w:r>
      <w:r w:rsidR="00034E8E">
        <w:t>-</w:t>
      </w:r>
      <w:r w:rsidR="007C5993" w:rsidRPr="0035164E">
        <w:t>risk from a W</w:t>
      </w:r>
      <w:r w:rsidR="001F1194">
        <w:t xml:space="preserve">ork </w:t>
      </w:r>
      <w:r w:rsidR="007C5993" w:rsidRPr="0035164E">
        <w:t>H</w:t>
      </w:r>
      <w:r w:rsidR="001F1194">
        <w:t xml:space="preserve">ealth and </w:t>
      </w:r>
      <w:r w:rsidR="00FF63FA" w:rsidRPr="0035164E">
        <w:t>S</w:t>
      </w:r>
      <w:r w:rsidR="00FF63FA">
        <w:t xml:space="preserve">afety </w:t>
      </w:r>
      <w:r w:rsidR="00FF63FA" w:rsidRPr="0035164E">
        <w:t>(</w:t>
      </w:r>
      <w:r w:rsidR="007C5993" w:rsidRPr="0035164E">
        <w:t>WHS</w:t>
      </w:r>
      <w:r w:rsidR="00E739A3">
        <w:t>)</w:t>
      </w:r>
      <w:r w:rsidR="0023411F">
        <w:t xml:space="preserve"> </w:t>
      </w:r>
      <w:r w:rsidR="007C5993" w:rsidRPr="0035164E">
        <w:t>or environmental perspective</w:t>
      </w:r>
      <w:r w:rsidR="001F1194">
        <w:t>,</w:t>
      </w:r>
      <w:r w:rsidR="007C5993" w:rsidRPr="0035164E">
        <w:t xml:space="preserve"> which have been subject to inspection in the reporting period. Proactive, consistent regulation of high-risk sites </w:t>
      </w:r>
      <w:r w:rsidR="00034E8E">
        <w:t xml:space="preserve">continue </w:t>
      </w:r>
      <w:r w:rsidR="00FF63FA">
        <w:t xml:space="preserve">to </w:t>
      </w:r>
      <w:r w:rsidR="00FF63FA" w:rsidRPr="0035164E">
        <w:t>contribute</w:t>
      </w:r>
      <w:r w:rsidR="007C5993" w:rsidRPr="0035164E">
        <w:t xml:space="preserve"> to improved industry performance and ultimately better health, safety and environmental outcomes in </w:t>
      </w:r>
      <w:r w:rsidR="00592C0F">
        <w:t>New South Wales</w:t>
      </w:r>
      <w:r w:rsidR="00592C0F" w:rsidRPr="0035164E">
        <w:t xml:space="preserve"> </w:t>
      </w:r>
      <w:r w:rsidR="007C5993" w:rsidRPr="0035164E">
        <w:t xml:space="preserve">mines. </w:t>
      </w:r>
      <w:r w:rsidR="00A45909" w:rsidRPr="0035164E">
        <w:t xml:space="preserve">Regulatory oversight is a key aspect of ensuring compliance with the legislative requirements and providing certainty in the regulatory process and framework. </w:t>
      </w:r>
    </w:p>
    <w:p w14:paraId="2160F945" w14:textId="5FC3F83F" w:rsidR="007C5993" w:rsidRDefault="00034E8E" w:rsidP="004052A2">
      <w:pPr>
        <w:pStyle w:val="BodyText"/>
      </w:pPr>
      <w:r>
        <w:t>Performance against this indicator is stable and performance target</w:t>
      </w:r>
      <w:r w:rsidR="00930E06">
        <w:t>s</w:t>
      </w:r>
      <w:r>
        <w:t xml:space="preserve"> </w:t>
      </w:r>
      <w:r w:rsidR="00930E06">
        <w:t>are</w:t>
      </w:r>
      <w:r w:rsidR="00A45909" w:rsidRPr="0035164E">
        <w:t xml:space="preserve"> in development.</w:t>
      </w:r>
    </w:p>
    <w:p w14:paraId="4BDCAB34" w14:textId="181F991E" w:rsidR="008D5C72" w:rsidRPr="00F2275D" w:rsidRDefault="008D5C72" w:rsidP="0034799A">
      <w:pPr>
        <w:pStyle w:val="Chart4X"/>
        <w:ind w:left="1134" w:hanging="1134"/>
        <w:rPr>
          <w:lang w:eastAsia="en-AU"/>
        </w:rPr>
      </w:pPr>
      <w:r w:rsidRPr="00F2275D">
        <w:rPr>
          <w:lang w:eastAsia="en-AU"/>
        </w:rPr>
        <w:t>Proportion of high risk and priority mine sites proactively inspected for compliance with WHS &amp; Mining Act requirement</w:t>
      </w:r>
    </w:p>
    <w:p w14:paraId="29100D96" w14:textId="7AABD9BF" w:rsidR="000D4ADF" w:rsidRDefault="000D4ADF" w:rsidP="00C763D1">
      <w:pPr>
        <w:autoSpaceDE w:val="0"/>
        <w:autoSpaceDN w:val="0"/>
        <w:adjustRightInd w:val="0"/>
        <w:spacing w:after="0" w:line="240" w:lineRule="auto"/>
        <w:jc w:val="center"/>
        <w:rPr>
          <w:rFonts w:ascii="Arial" w:eastAsia="Times New Roman" w:hAnsi="Arial" w:cs="Arial"/>
          <w:sz w:val="23"/>
          <w:szCs w:val="20"/>
        </w:rPr>
      </w:pPr>
      <w:r>
        <w:rPr>
          <w:noProof/>
          <w:lang w:eastAsia="en-AU"/>
        </w:rPr>
        <w:drawing>
          <wp:inline distT="0" distB="0" distL="0" distR="0" wp14:anchorId="2DCD6827" wp14:editId="2ACEAFAD">
            <wp:extent cx="4794250" cy="2441575"/>
            <wp:effectExtent l="0" t="0" r="0" b="0"/>
            <wp:docPr id="31" name="Chart 31" descr="Chart 6.11: Proportion of high risk and priority mine sites proactively inspected for compliance with WHS &amp; Mining Act requirement">
              <a:extLst xmlns:a="http://schemas.openxmlformats.org/drawingml/2006/main">
                <a:ext uri="{FF2B5EF4-FFF2-40B4-BE49-F238E27FC236}">
                  <a16:creationId xmlns:a16="http://schemas.microsoft.com/office/drawing/2014/main" id="{3D2F4431-6F3A-4076-8AC0-D3EA436367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B42C56" w14:textId="546F6745" w:rsidR="00924A3D" w:rsidRPr="008F0ED4" w:rsidRDefault="00DF378A" w:rsidP="00415F0B">
      <w:pPr>
        <w:spacing w:after="0" w:line="240" w:lineRule="auto"/>
        <w:rPr>
          <w:rFonts w:ascii="Arial" w:eastAsia="Times New Roman" w:hAnsi="Arial" w:cs="Arial"/>
          <w:sz w:val="17"/>
          <w:szCs w:val="17"/>
        </w:rPr>
      </w:pPr>
      <w:r w:rsidRPr="008F0ED4">
        <w:rPr>
          <w:rFonts w:ascii="Arial" w:eastAsia="Times New Roman" w:hAnsi="Arial" w:cs="Arial"/>
          <w:sz w:val="17"/>
          <w:szCs w:val="17"/>
        </w:rPr>
        <w:t xml:space="preserve">Note: </w:t>
      </w:r>
      <w:r w:rsidR="00497D1B" w:rsidRPr="008F0ED4">
        <w:rPr>
          <w:rFonts w:ascii="Arial" w:eastAsia="Times New Roman" w:hAnsi="Arial" w:cs="Arial"/>
          <w:sz w:val="17"/>
          <w:szCs w:val="17"/>
        </w:rPr>
        <w:t>Performance t</w:t>
      </w:r>
      <w:r w:rsidR="00924A3D" w:rsidRPr="008F0ED4">
        <w:rPr>
          <w:rFonts w:ascii="Arial" w:eastAsia="Times New Roman" w:hAnsi="Arial" w:cs="Arial"/>
          <w:sz w:val="17"/>
          <w:szCs w:val="17"/>
        </w:rPr>
        <w:t>arget</w:t>
      </w:r>
      <w:r w:rsidR="000659CF" w:rsidRPr="008F0ED4">
        <w:rPr>
          <w:rFonts w:ascii="Arial" w:eastAsia="Times New Roman" w:hAnsi="Arial" w:cs="Arial"/>
          <w:sz w:val="17"/>
          <w:szCs w:val="17"/>
        </w:rPr>
        <w:t>s</w:t>
      </w:r>
      <w:r w:rsidR="00924A3D" w:rsidRPr="008F0ED4">
        <w:rPr>
          <w:rFonts w:ascii="Arial" w:eastAsia="Times New Roman" w:hAnsi="Arial" w:cs="Arial"/>
          <w:sz w:val="17"/>
          <w:szCs w:val="17"/>
        </w:rPr>
        <w:t xml:space="preserve"> are in development</w:t>
      </w:r>
      <w:r w:rsidR="00D72CF3" w:rsidRPr="008F0ED4">
        <w:rPr>
          <w:rFonts w:ascii="Arial" w:eastAsia="Times New Roman" w:hAnsi="Arial" w:cs="Arial"/>
          <w:sz w:val="17"/>
          <w:szCs w:val="17"/>
        </w:rPr>
        <w:t xml:space="preserve">. </w:t>
      </w:r>
    </w:p>
    <w:p w14:paraId="0125792F" w14:textId="77777777" w:rsidR="008F7E15" w:rsidRDefault="008F7E15" w:rsidP="008D5C72">
      <w:pPr>
        <w:pStyle w:val="Heading3"/>
        <w:spacing w:before="240" w:after="100"/>
        <w:rPr>
          <w:rFonts w:ascii="Arial" w:hAnsi="Arial" w:cs="Arial"/>
        </w:rPr>
      </w:pPr>
    </w:p>
    <w:p w14:paraId="6D9736C1" w14:textId="77777777" w:rsidR="008F7E15" w:rsidRPr="008F7E15" w:rsidRDefault="008F7E15" w:rsidP="004052A2">
      <w:pPr>
        <w:pStyle w:val="BodyText"/>
      </w:pPr>
    </w:p>
    <w:p w14:paraId="754D656F" w14:textId="77777777" w:rsidR="00C763D1" w:rsidRDefault="00C763D1">
      <w:pPr>
        <w:rPr>
          <w:rFonts w:ascii="Arial" w:hAnsi="Arial" w:cs="Arial"/>
          <w:b/>
          <w:bCs/>
          <w:szCs w:val="20"/>
        </w:rPr>
      </w:pPr>
      <w:r>
        <w:rPr>
          <w:rFonts w:ascii="Arial" w:hAnsi="Arial" w:cs="Arial"/>
          <w:b/>
          <w:bCs/>
          <w:szCs w:val="20"/>
        </w:rPr>
        <w:br w:type="page"/>
      </w:r>
    </w:p>
    <w:p w14:paraId="2A883617" w14:textId="2EC51144" w:rsidR="007C5993" w:rsidRPr="00415F0B" w:rsidRDefault="00BE0147" w:rsidP="00C763D1">
      <w:pPr>
        <w:pStyle w:val="Heading3"/>
        <w:rPr>
          <w:rFonts w:eastAsiaTheme="minorEastAsia"/>
        </w:rPr>
      </w:pPr>
      <w:r w:rsidRPr="00415F0B">
        <w:lastRenderedPageBreak/>
        <w:t>P</w:t>
      </w:r>
      <w:r w:rsidR="007C5993" w:rsidRPr="00415F0B">
        <w:t xml:space="preserve">erformance indicators for this </w:t>
      </w:r>
      <w:r w:rsidR="00844729">
        <w:t>O</w:t>
      </w:r>
      <w:r w:rsidR="007C5993" w:rsidRPr="00415F0B">
        <w:t xml:space="preserve">utcome </w:t>
      </w:r>
    </w:p>
    <w:tbl>
      <w:tblPr>
        <w:tblpPr w:leftFromText="180" w:rightFromText="180" w:vertAnchor="text" w:horzAnchor="margin" w:tblpY="126"/>
        <w:tblW w:w="9599" w:type="dxa"/>
        <w:tblLook w:val="04A0" w:firstRow="1" w:lastRow="0" w:firstColumn="1" w:lastColumn="0" w:noHBand="0" w:noVBand="1"/>
        <w:tblCaption w:val="Performance indicators for this Outcome "/>
      </w:tblPr>
      <w:tblGrid>
        <w:gridCol w:w="6537"/>
        <w:gridCol w:w="737"/>
        <w:gridCol w:w="1191"/>
        <w:gridCol w:w="1134"/>
      </w:tblGrid>
      <w:tr w:rsidR="00D06F83" w:rsidRPr="00415F0B" w14:paraId="2D1D8468" w14:textId="77777777" w:rsidTr="00904865">
        <w:trPr>
          <w:trHeight w:val="283"/>
        </w:trPr>
        <w:tc>
          <w:tcPr>
            <w:tcW w:w="6537" w:type="dxa"/>
            <w:vMerge w:val="restart"/>
            <w:tcBorders>
              <w:top w:val="nil"/>
              <w:left w:val="nil"/>
              <w:bottom w:val="nil"/>
              <w:right w:val="nil"/>
            </w:tcBorders>
            <w:shd w:val="clear" w:color="auto" w:fill="00426F"/>
            <w:noWrap/>
            <w:vAlign w:val="center"/>
            <w:hideMark/>
          </w:tcPr>
          <w:p w14:paraId="20B1A16B" w14:textId="77777777" w:rsidR="00D06F83" w:rsidRPr="002F57F0" w:rsidRDefault="00D06F83" w:rsidP="002F57F0">
            <w:pPr>
              <w:spacing w:after="0" w:line="240" w:lineRule="auto"/>
              <w:rPr>
                <w:rFonts w:ascii="Arial" w:eastAsia="Times New Roman" w:hAnsi="Arial" w:cs="Arial"/>
                <w:b/>
                <w:bCs/>
                <w:color w:val="FFFFFF"/>
                <w:sz w:val="18"/>
                <w:szCs w:val="18"/>
                <w:lang w:eastAsia="en-AU"/>
              </w:rPr>
            </w:pPr>
            <w:r w:rsidRPr="002F57F0">
              <w:rPr>
                <w:rFonts w:ascii="Arial" w:eastAsia="Times New Roman" w:hAnsi="Arial" w:cs="Arial"/>
                <w:b/>
                <w:bCs/>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598A45EF" w14:textId="77777777" w:rsidR="00D06F83" w:rsidRPr="002F57F0" w:rsidRDefault="00D06F83" w:rsidP="002F57F0">
            <w:pPr>
              <w:spacing w:after="0" w:line="240" w:lineRule="auto"/>
              <w:rPr>
                <w:rFonts w:ascii="Arial" w:eastAsia="Times New Roman" w:hAnsi="Arial" w:cs="Arial"/>
                <w:b/>
                <w:bCs/>
                <w:color w:val="FFFFFF"/>
                <w:sz w:val="18"/>
                <w:szCs w:val="18"/>
                <w:lang w:eastAsia="en-AU"/>
              </w:rPr>
            </w:pPr>
            <w:r w:rsidRPr="002F57F0">
              <w:rPr>
                <w:rFonts w:ascii="Arial" w:eastAsia="Times New Roman"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28A9C747" w14:textId="77777777" w:rsidR="00D06F83" w:rsidRPr="002F57F0" w:rsidRDefault="00D06F83" w:rsidP="002F57F0">
            <w:pPr>
              <w:spacing w:after="0" w:line="240" w:lineRule="auto"/>
              <w:jc w:val="center"/>
              <w:rPr>
                <w:rFonts w:ascii="Arial" w:eastAsia="Times New Roman" w:hAnsi="Arial" w:cs="Arial"/>
                <w:b/>
                <w:bCs/>
                <w:color w:val="FFFFFF"/>
                <w:sz w:val="18"/>
                <w:szCs w:val="18"/>
                <w:lang w:eastAsia="en-AU"/>
              </w:rPr>
            </w:pPr>
            <w:r w:rsidRPr="002F57F0">
              <w:rPr>
                <w:rFonts w:ascii="Arial" w:eastAsia="Times New Roman" w:hAnsi="Arial" w:cs="Arial"/>
                <w:b/>
                <w:bCs/>
                <w:color w:val="FFFFFF"/>
                <w:sz w:val="18"/>
                <w:szCs w:val="18"/>
                <w:lang w:eastAsia="en-AU"/>
              </w:rPr>
              <w:t>2019-20</w:t>
            </w:r>
          </w:p>
        </w:tc>
        <w:tc>
          <w:tcPr>
            <w:tcW w:w="1134" w:type="dxa"/>
            <w:tcBorders>
              <w:top w:val="nil"/>
              <w:left w:val="nil"/>
              <w:bottom w:val="nil"/>
              <w:right w:val="nil"/>
            </w:tcBorders>
            <w:shd w:val="clear" w:color="auto" w:fill="00426F"/>
            <w:noWrap/>
            <w:vAlign w:val="bottom"/>
            <w:hideMark/>
          </w:tcPr>
          <w:p w14:paraId="144EC663" w14:textId="77777777" w:rsidR="00D06F83" w:rsidRPr="002F57F0" w:rsidRDefault="00D06F83" w:rsidP="002F57F0">
            <w:pPr>
              <w:spacing w:after="0" w:line="240" w:lineRule="auto"/>
              <w:jc w:val="center"/>
              <w:rPr>
                <w:rFonts w:ascii="Arial" w:eastAsia="Times New Roman" w:hAnsi="Arial" w:cs="Arial"/>
                <w:b/>
                <w:bCs/>
                <w:color w:val="FFFFFF"/>
                <w:sz w:val="18"/>
                <w:szCs w:val="18"/>
                <w:lang w:eastAsia="en-AU"/>
              </w:rPr>
            </w:pPr>
            <w:r w:rsidRPr="002F57F0">
              <w:rPr>
                <w:rFonts w:ascii="Arial" w:eastAsia="Times New Roman" w:hAnsi="Arial" w:cs="Arial"/>
                <w:b/>
                <w:bCs/>
                <w:color w:val="FFFFFF"/>
                <w:sz w:val="18"/>
                <w:szCs w:val="18"/>
                <w:lang w:eastAsia="en-AU"/>
              </w:rPr>
              <w:t>2020-21</w:t>
            </w:r>
          </w:p>
        </w:tc>
      </w:tr>
      <w:tr w:rsidR="00D06F83" w:rsidRPr="00415F0B" w14:paraId="1243BB6F" w14:textId="77777777" w:rsidTr="00904865">
        <w:trPr>
          <w:trHeight w:val="283"/>
        </w:trPr>
        <w:tc>
          <w:tcPr>
            <w:tcW w:w="6537" w:type="dxa"/>
            <w:vMerge/>
            <w:tcBorders>
              <w:top w:val="nil"/>
              <w:left w:val="nil"/>
              <w:bottom w:val="nil"/>
              <w:right w:val="nil"/>
            </w:tcBorders>
            <w:shd w:val="clear" w:color="auto" w:fill="00426F"/>
            <w:vAlign w:val="center"/>
            <w:hideMark/>
          </w:tcPr>
          <w:p w14:paraId="606D4559" w14:textId="77777777" w:rsidR="00D06F83" w:rsidRPr="002F57F0" w:rsidRDefault="00D06F83" w:rsidP="002F57F0">
            <w:pPr>
              <w:spacing w:after="0" w:line="240" w:lineRule="auto"/>
              <w:rPr>
                <w:rFonts w:ascii="Arial" w:eastAsia="Times New Roman" w:hAnsi="Arial" w:cs="Arial"/>
                <w:b/>
                <w:bCs/>
                <w:color w:val="FFFFFF"/>
                <w:sz w:val="18"/>
                <w:szCs w:val="18"/>
                <w:lang w:eastAsia="en-AU"/>
              </w:rPr>
            </w:pPr>
          </w:p>
        </w:tc>
        <w:tc>
          <w:tcPr>
            <w:tcW w:w="737" w:type="dxa"/>
            <w:vMerge/>
            <w:tcBorders>
              <w:top w:val="nil"/>
              <w:left w:val="nil"/>
              <w:bottom w:val="nil"/>
              <w:right w:val="nil"/>
            </w:tcBorders>
            <w:shd w:val="clear" w:color="auto" w:fill="00426F"/>
            <w:vAlign w:val="center"/>
            <w:hideMark/>
          </w:tcPr>
          <w:p w14:paraId="5B0A50AE" w14:textId="77777777" w:rsidR="00D06F83" w:rsidRPr="002F57F0" w:rsidRDefault="00D06F83" w:rsidP="002F57F0">
            <w:pPr>
              <w:spacing w:after="0" w:line="240" w:lineRule="auto"/>
              <w:rPr>
                <w:rFonts w:ascii="Arial" w:eastAsia="Times New Roman"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35C60BE3" w14:textId="77777777" w:rsidR="00D06F83" w:rsidRPr="002F57F0" w:rsidRDefault="00D06F83" w:rsidP="002F57F0">
            <w:pPr>
              <w:spacing w:after="0" w:line="240" w:lineRule="auto"/>
              <w:jc w:val="center"/>
              <w:rPr>
                <w:rFonts w:ascii="Arial" w:eastAsia="Times New Roman" w:hAnsi="Arial" w:cs="Arial"/>
                <w:b/>
                <w:bCs/>
                <w:color w:val="FFFFFF"/>
                <w:sz w:val="18"/>
                <w:szCs w:val="18"/>
                <w:lang w:eastAsia="en-AU"/>
              </w:rPr>
            </w:pPr>
            <w:r w:rsidRPr="002F57F0">
              <w:rPr>
                <w:rFonts w:ascii="Arial" w:eastAsia="Times New Roman" w:hAnsi="Arial" w:cs="Arial"/>
                <w:b/>
                <w:bCs/>
                <w:color w:val="FFFFFF"/>
                <w:sz w:val="18"/>
                <w:szCs w:val="18"/>
                <w:lang w:eastAsia="en-AU"/>
              </w:rPr>
              <w:t>Actual</w:t>
            </w:r>
          </w:p>
        </w:tc>
        <w:tc>
          <w:tcPr>
            <w:tcW w:w="1134" w:type="dxa"/>
            <w:tcBorders>
              <w:top w:val="nil"/>
              <w:left w:val="nil"/>
              <w:bottom w:val="nil"/>
              <w:right w:val="nil"/>
            </w:tcBorders>
            <w:shd w:val="clear" w:color="auto" w:fill="00426F"/>
            <w:noWrap/>
            <w:hideMark/>
          </w:tcPr>
          <w:p w14:paraId="09C2D3CB" w14:textId="77777777" w:rsidR="00D06F83" w:rsidRPr="002F57F0" w:rsidRDefault="00D06F83" w:rsidP="002F57F0">
            <w:pPr>
              <w:spacing w:after="0" w:line="240" w:lineRule="auto"/>
              <w:jc w:val="center"/>
              <w:rPr>
                <w:rFonts w:ascii="Arial" w:eastAsia="Times New Roman" w:hAnsi="Arial" w:cs="Arial"/>
                <w:b/>
                <w:bCs/>
                <w:color w:val="FFFFFF"/>
                <w:sz w:val="18"/>
                <w:szCs w:val="18"/>
                <w:lang w:eastAsia="en-AU"/>
              </w:rPr>
            </w:pPr>
            <w:r w:rsidRPr="002F57F0">
              <w:rPr>
                <w:rFonts w:ascii="Arial" w:eastAsia="Times New Roman" w:hAnsi="Arial" w:cs="Arial"/>
                <w:b/>
                <w:bCs/>
                <w:color w:val="FFFFFF"/>
                <w:sz w:val="18"/>
                <w:szCs w:val="18"/>
                <w:lang w:eastAsia="en-AU"/>
              </w:rPr>
              <w:t>Forecast</w:t>
            </w:r>
          </w:p>
        </w:tc>
      </w:tr>
      <w:tr w:rsidR="00D06F83" w:rsidRPr="001A2AA4" w14:paraId="05E4B140" w14:textId="77777777" w:rsidTr="00904865">
        <w:trPr>
          <w:trHeight w:val="45"/>
        </w:trPr>
        <w:tc>
          <w:tcPr>
            <w:tcW w:w="6537" w:type="dxa"/>
            <w:tcBorders>
              <w:top w:val="nil"/>
              <w:left w:val="nil"/>
              <w:bottom w:val="nil"/>
              <w:right w:val="nil"/>
            </w:tcBorders>
            <w:shd w:val="clear" w:color="auto" w:fill="auto"/>
            <w:noWrap/>
            <w:vAlign w:val="center"/>
            <w:hideMark/>
          </w:tcPr>
          <w:p w14:paraId="4B7A5D00" w14:textId="77777777" w:rsidR="00D06F83" w:rsidRPr="001A2AA4" w:rsidRDefault="00D06F83" w:rsidP="002F57F0">
            <w:pPr>
              <w:spacing w:after="0" w:line="240" w:lineRule="auto"/>
              <w:jc w:val="center"/>
              <w:rPr>
                <w:rFonts w:ascii="Arial" w:eastAsia="Times New Roman" w:hAnsi="Arial" w:cs="Arial"/>
                <w:b/>
                <w:bCs/>
                <w:color w:val="FFFFFF"/>
                <w:sz w:val="16"/>
                <w:szCs w:val="16"/>
                <w:lang w:eastAsia="en-AU"/>
              </w:rPr>
            </w:pPr>
          </w:p>
        </w:tc>
        <w:tc>
          <w:tcPr>
            <w:tcW w:w="737" w:type="dxa"/>
            <w:tcBorders>
              <w:top w:val="nil"/>
              <w:left w:val="nil"/>
              <w:bottom w:val="nil"/>
              <w:right w:val="nil"/>
            </w:tcBorders>
            <w:shd w:val="clear" w:color="auto" w:fill="auto"/>
            <w:noWrap/>
            <w:vAlign w:val="center"/>
            <w:hideMark/>
          </w:tcPr>
          <w:p w14:paraId="304EB460" w14:textId="77777777" w:rsidR="00D06F83" w:rsidRPr="001A2AA4" w:rsidRDefault="00D06F83" w:rsidP="002F57F0">
            <w:pPr>
              <w:spacing w:after="0" w:line="240" w:lineRule="auto"/>
              <w:ind w:firstLineChars="100" w:firstLine="200"/>
              <w:rPr>
                <w:rFonts w:ascii="Times New Roman" w:eastAsia="Times New Roman" w:hAnsi="Times New Roman" w:cs="Times New Roman"/>
                <w:szCs w:val="20"/>
                <w:lang w:eastAsia="en-AU"/>
              </w:rPr>
            </w:pPr>
          </w:p>
        </w:tc>
        <w:tc>
          <w:tcPr>
            <w:tcW w:w="1191" w:type="dxa"/>
            <w:tcBorders>
              <w:top w:val="nil"/>
              <w:left w:val="nil"/>
              <w:bottom w:val="nil"/>
              <w:right w:val="nil"/>
            </w:tcBorders>
            <w:shd w:val="clear" w:color="auto" w:fill="auto"/>
            <w:noWrap/>
            <w:vAlign w:val="center"/>
            <w:hideMark/>
          </w:tcPr>
          <w:p w14:paraId="566A8584" w14:textId="77777777" w:rsidR="00D06F83" w:rsidRPr="001A2AA4" w:rsidRDefault="00D06F83" w:rsidP="00904865">
            <w:pPr>
              <w:spacing w:after="0" w:line="240" w:lineRule="auto"/>
              <w:ind w:right="170"/>
              <w:jc w:val="center"/>
              <w:rPr>
                <w:rFonts w:ascii="Times New Roman" w:eastAsia="Times New Roman" w:hAnsi="Times New Roman" w:cs="Times New Roman"/>
                <w:szCs w:val="20"/>
                <w:lang w:eastAsia="en-AU"/>
              </w:rPr>
            </w:pPr>
          </w:p>
        </w:tc>
        <w:tc>
          <w:tcPr>
            <w:tcW w:w="1134" w:type="dxa"/>
            <w:tcBorders>
              <w:top w:val="nil"/>
              <w:left w:val="nil"/>
              <w:bottom w:val="nil"/>
              <w:right w:val="nil"/>
            </w:tcBorders>
            <w:shd w:val="clear" w:color="auto" w:fill="auto"/>
            <w:noWrap/>
            <w:vAlign w:val="center"/>
            <w:hideMark/>
          </w:tcPr>
          <w:p w14:paraId="4F90ED19" w14:textId="77777777" w:rsidR="00D06F83" w:rsidRPr="001A2AA4" w:rsidRDefault="00D06F83" w:rsidP="00904865">
            <w:pPr>
              <w:spacing w:after="0" w:line="240" w:lineRule="auto"/>
              <w:ind w:right="170"/>
              <w:jc w:val="center"/>
              <w:rPr>
                <w:rFonts w:ascii="Times New Roman" w:eastAsia="Times New Roman" w:hAnsi="Times New Roman" w:cs="Times New Roman"/>
                <w:szCs w:val="20"/>
                <w:lang w:eastAsia="en-AU"/>
              </w:rPr>
            </w:pPr>
          </w:p>
        </w:tc>
      </w:tr>
      <w:tr w:rsidR="00D06F83" w:rsidRPr="001A2AA4" w14:paraId="138DA256" w14:textId="77777777" w:rsidTr="00904865">
        <w:trPr>
          <w:trHeight w:val="234"/>
        </w:trPr>
        <w:tc>
          <w:tcPr>
            <w:tcW w:w="6537" w:type="dxa"/>
            <w:tcBorders>
              <w:top w:val="nil"/>
              <w:left w:val="nil"/>
              <w:bottom w:val="nil"/>
              <w:right w:val="nil"/>
            </w:tcBorders>
            <w:shd w:val="clear" w:color="auto" w:fill="auto"/>
            <w:vAlign w:val="bottom"/>
            <w:hideMark/>
          </w:tcPr>
          <w:p w14:paraId="31709D92" w14:textId="77777777" w:rsidR="00D06F83" w:rsidRPr="001A2AA4" w:rsidRDefault="00D06F83" w:rsidP="002F57F0">
            <w:pPr>
              <w:spacing w:after="0" w:line="240" w:lineRule="auto"/>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Improved pre-competitive mineral and petroleum resource data and analysis to support exploration as measured by the Fraser Institute over 12 months</w:t>
            </w:r>
            <w:r w:rsidRPr="001A2AA4">
              <w:rPr>
                <w:rFonts w:ascii="Arial" w:eastAsia="Times New Roman" w:hAnsi="Arial"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4859C228" w14:textId="77777777" w:rsidR="00D06F83" w:rsidRPr="001A2AA4" w:rsidRDefault="00D06F83" w:rsidP="002F57F0">
            <w:pPr>
              <w:spacing w:after="0" w:line="240" w:lineRule="auto"/>
              <w:jc w:val="center"/>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367A4363"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97.0</w:t>
            </w:r>
          </w:p>
        </w:tc>
        <w:tc>
          <w:tcPr>
            <w:tcW w:w="1134" w:type="dxa"/>
            <w:tcBorders>
              <w:top w:val="nil"/>
              <w:left w:val="nil"/>
              <w:bottom w:val="nil"/>
              <w:right w:val="nil"/>
            </w:tcBorders>
            <w:shd w:val="clear" w:color="auto" w:fill="auto"/>
            <w:noWrap/>
            <w:vAlign w:val="bottom"/>
            <w:hideMark/>
          </w:tcPr>
          <w:p w14:paraId="0B77F20D"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95.0</w:t>
            </w:r>
          </w:p>
        </w:tc>
      </w:tr>
      <w:tr w:rsidR="00D06F83" w:rsidRPr="001A2AA4" w14:paraId="53A52794" w14:textId="77777777" w:rsidTr="00904865">
        <w:trPr>
          <w:trHeight w:val="400"/>
        </w:trPr>
        <w:tc>
          <w:tcPr>
            <w:tcW w:w="6537" w:type="dxa"/>
            <w:tcBorders>
              <w:top w:val="nil"/>
              <w:left w:val="nil"/>
              <w:bottom w:val="nil"/>
              <w:right w:val="nil"/>
            </w:tcBorders>
            <w:shd w:val="clear" w:color="auto" w:fill="auto"/>
            <w:vAlign w:val="bottom"/>
            <w:hideMark/>
          </w:tcPr>
          <w:p w14:paraId="3B9966E7" w14:textId="77777777" w:rsidR="00D06F83" w:rsidRPr="001A2AA4" w:rsidRDefault="00D06F83" w:rsidP="002F57F0">
            <w:pPr>
              <w:spacing w:after="0" w:line="240" w:lineRule="auto"/>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Efficient and effective titles assessment performance as measured against industry agreed KPIs for titles assessment activity over 12 months</w:t>
            </w:r>
          </w:p>
        </w:tc>
        <w:tc>
          <w:tcPr>
            <w:tcW w:w="737" w:type="dxa"/>
            <w:tcBorders>
              <w:top w:val="nil"/>
              <w:left w:val="nil"/>
              <w:bottom w:val="nil"/>
              <w:right w:val="nil"/>
            </w:tcBorders>
            <w:shd w:val="clear" w:color="auto" w:fill="auto"/>
            <w:noWrap/>
            <w:vAlign w:val="bottom"/>
            <w:hideMark/>
          </w:tcPr>
          <w:p w14:paraId="070D8576" w14:textId="77777777" w:rsidR="00D06F83" w:rsidRPr="001A2AA4" w:rsidRDefault="00D06F83" w:rsidP="002F57F0">
            <w:pPr>
              <w:spacing w:after="0" w:line="240" w:lineRule="auto"/>
              <w:jc w:val="center"/>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2CC5B5AB"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94.3</w:t>
            </w:r>
          </w:p>
        </w:tc>
        <w:tc>
          <w:tcPr>
            <w:tcW w:w="1134" w:type="dxa"/>
            <w:tcBorders>
              <w:top w:val="nil"/>
              <w:left w:val="nil"/>
              <w:bottom w:val="nil"/>
              <w:right w:val="nil"/>
            </w:tcBorders>
            <w:shd w:val="clear" w:color="auto" w:fill="auto"/>
            <w:noWrap/>
            <w:vAlign w:val="bottom"/>
            <w:hideMark/>
          </w:tcPr>
          <w:p w14:paraId="37D724A2"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90.0</w:t>
            </w:r>
          </w:p>
        </w:tc>
      </w:tr>
      <w:tr w:rsidR="00D06F83" w:rsidRPr="001A2AA4" w14:paraId="66D8748A" w14:textId="77777777" w:rsidTr="00904865">
        <w:trPr>
          <w:trHeight w:val="440"/>
        </w:trPr>
        <w:tc>
          <w:tcPr>
            <w:tcW w:w="6537" w:type="dxa"/>
            <w:tcBorders>
              <w:top w:val="nil"/>
              <w:left w:val="nil"/>
              <w:bottom w:val="nil"/>
              <w:right w:val="nil"/>
            </w:tcBorders>
            <w:shd w:val="clear" w:color="auto" w:fill="auto"/>
            <w:vAlign w:val="bottom"/>
            <w:hideMark/>
          </w:tcPr>
          <w:p w14:paraId="01EC329C" w14:textId="77777777" w:rsidR="00D06F83" w:rsidRPr="001A2AA4" w:rsidRDefault="00D06F83" w:rsidP="002F57F0">
            <w:pPr>
              <w:spacing w:after="0" w:line="240" w:lineRule="auto"/>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NSW to average over 10% share of Australian mineral exploration expenditure in Australia over five years to 2025</w:t>
            </w:r>
            <w:r w:rsidRPr="001A2AA4">
              <w:rPr>
                <w:rFonts w:ascii="Arial" w:eastAsia="Times New Roman" w:hAnsi="Arial"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5D5E35FB" w14:textId="77777777" w:rsidR="00D06F83" w:rsidRPr="001A2AA4" w:rsidRDefault="00D06F83" w:rsidP="002F57F0">
            <w:pPr>
              <w:spacing w:after="0" w:line="240" w:lineRule="auto"/>
              <w:jc w:val="center"/>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0249B794"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11.2</w:t>
            </w:r>
          </w:p>
        </w:tc>
        <w:tc>
          <w:tcPr>
            <w:tcW w:w="1134" w:type="dxa"/>
            <w:tcBorders>
              <w:top w:val="nil"/>
              <w:left w:val="nil"/>
              <w:bottom w:val="nil"/>
              <w:right w:val="nil"/>
            </w:tcBorders>
            <w:shd w:val="clear" w:color="auto" w:fill="auto"/>
            <w:noWrap/>
            <w:vAlign w:val="bottom"/>
            <w:hideMark/>
          </w:tcPr>
          <w:p w14:paraId="611467A1"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10.0</w:t>
            </w:r>
          </w:p>
        </w:tc>
      </w:tr>
      <w:tr w:rsidR="00D06F83" w:rsidRPr="001A2AA4" w14:paraId="0D2CC810" w14:textId="77777777" w:rsidTr="00904865">
        <w:trPr>
          <w:trHeight w:val="240"/>
        </w:trPr>
        <w:tc>
          <w:tcPr>
            <w:tcW w:w="6537" w:type="dxa"/>
            <w:tcBorders>
              <w:top w:val="nil"/>
              <w:left w:val="nil"/>
              <w:bottom w:val="nil"/>
              <w:right w:val="nil"/>
            </w:tcBorders>
            <w:shd w:val="clear" w:color="auto" w:fill="auto"/>
            <w:vAlign w:val="bottom"/>
            <w:hideMark/>
          </w:tcPr>
          <w:p w14:paraId="18FBB5F1" w14:textId="77777777" w:rsidR="00D06F83" w:rsidRPr="001A2AA4" w:rsidRDefault="00D06F83" w:rsidP="002F57F0">
            <w:pPr>
              <w:spacing w:after="0" w:line="240" w:lineRule="auto"/>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Proportion of total Australian private mining capital spent in NSW</w:t>
            </w:r>
            <w:r w:rsidRPr="001A2AA4">
              <w:rPr>
                <w:rFonts w:ascii="Arial" w:eastAsia="Times New Roman" w:hAnsi="Arial" w:cs="Arial"/>
                <w:color w:val="000000"/>
                <w:sz w:val="16"/>
                <w:szCs w:val="16"/>
                <w:vertAlign w:val="superscript"/>
                <w:lang w:eastAsia="en-AU"/>
              </w:rPr>
              <w:t>(a)</w:t>
            </w:r>
          </w:p>
        </w:tc>
        <w:tc>
          <w:tcPr>
            <w:tcW w:w="737" w:type="dxa"/>
            <w:tcBorders>
              <w:top w:val="nil"/>
              <w:left w:val="nil"/>
              <w:bottom w:val="nil"/>
              <w:right w:val="nil"/>
            </w:tcBorders>
            <w:shd w:val="clear" w:color="auto" w:fill="auto"/>
            <w:noWrap/>
            <w:vAlign w:val="bottom"/>
            <w:hideMark/>
          </w:tcPr>
          <w:p w14:paraId="0B7F8FEF" w14:textId="77777777" w:rsidR="00D06F83" w:rsidRPr="001A2AA4" w:rsidRDefault="00D06F83" w:rsidP="002F57F0">
            <w:pPr>
              <w:spacing w:after="0" w:line="240" w:lineRule="auto"/>
              <w:jc w:val="center"/>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37C16BD6"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8.8</w:t>
            </w:r>
          </w:p>
        </w:tc>
        <w:tc>
          <w:tcPr>
            <w:tcW w:w="1134" w:type="dxa"/>
            <w:tcBorders>
              <w:top w:val="nil"/>
              <w:left w:val="nil"/>
              <w:bottom w:val="nil"/>
              <w:right w:val="nil"/>
            </w:tcBorders>
            <w:shd w:val="clear" w:color="auto" w:fill="auto"/>
            <w:noWrap/>
            <w:vAlign w:val="bottom"/>
            <w:hideMark/>
          </w:tcPr>
          <w:p w14:paraId="1252CA6F"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8.0</w:t>
            </w:r>
          </w:p>
        </w:tc>
      </w:tr>
      <w:tr w:rsidR="00D06F83" w:rsidRPr="001A2AA4" w14:paraId="3FC1607D" w14:textId="77777777" w:rsidTr="00904865">
        <w:trPr>
          <w:trHeight w:val="200"/>
        </w:trPr>
        <w:tc>
          <w:tcPr>
            <w:tcW w:w="6537" w:type="dxa"/>
            <w:tcBorders>
              <w:top w:val="nil"/>
              <w:left w:val="nil"/>
              <w:bottom w:val="nil"/>
              <w:right w:val="nil"/>
            </w:tcBorders>
            <w:shd w:val="clear" w:color="auto" w:fill="auto"/>
            <w:vAlign w:val="bottom"/>
            <w:hideMark/>
          </w:tcPr>
          <w:p w14:paraId="0A03C916" w14:textId="77777777" w:rsidR="00D06F83" w:rsidRPr="001A2AA4" w:rsidRDefault="00D06F83" w:rsidP="002F57F0">
            <w:pPr>
              <w:spacing w:after="0" w:line="240" w:lineRule="auto"/>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Four year rolling average value of royalties from mining received by NSW</w:t>
            </w:r>
          </w:p>
        </w:tc>
        <w:tc>
          <w:tcPr>
            <w:tcW w:w="737" w:type="dxa"/>
            <w:tcBorders>
              <w:top w:val="nil"/>
              <w:left w:val="nil"/>
              <w:bottom w:val="nil"/>
              <w:right w:val="nil"/>
            </w:tcBorders>
            <w:shd w:val="clear" w:color="auto" w:fill="auto"/>
            <w:noWrap/>
            <w:vAlign w:val="bottom"/>
            <w:hideMark/>
          </w:tcPr>
          <w:p w14:paraId="4E45F81B" w14:textId="77777777" w:rsidR="00D06F83" w:rsidRPr="001A2AA4" w:rsidRDefault="00D06F83" w:rsidP="002F57F0">
            <w:pPr>
              <w:spacing w:after="0" w:line="240" w:lineRule="auto"/>
              <w:jc w:val="center"/>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$b</w:t>
            </w:r>
          </w:p>
        </w:tc>
        <w:tc>
          <w:tcPr>
            <w:tcW w:w="1191" w:type="dxa"/>
            <w:tcBorders>
              <w:top w:val="nil"/>
              <w:left w:val="nil"/>
              <w:bottom w:val="nil"/>
              <w:right w:val="nil"/>
            </w:tcBorders>
            <w:shd w:val="clear" w:color="auto" w:fill="auto"/>
            <w:noWrap/>
            <w:vAlign w:val="bottom"/>
            <w:hideMark/>
          </w:tcPr>
          <w:p w14:paraId="6D4BF69A"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1.7</w:t>
            </w:r>
          </w:p>
        </w:tc>
        <w:tc>
          <w:tcPr>
            <w:tcW w:w="1134" w:type="dxa"/>
            <w:tcBorders>
              <w:top w:val="nil"/>
              <w:left w:val="nil"/>
              <w:bottom w:val="nil"/>
              <w:right w:val="nil"/>
            </w:tcBorders>
            <w:shd w:val="clear" w:color="auto" w:fill="auto"/>
            <w:noWrap/>
            <w:vAlign w:val="bottom"/>
            <w:hideMark/>
          </w:tcPr>
          <w:p w14:paraId="16406723"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1.4</w:t>
            </w:r>
          </w:p>
        </w:tc>
      </w:tr>
      <w:tr w:rsidR="00D06F83" w:rsidRPr="001A2AA4" w14:paraId="0BF72125" w14:textId="77777777" w:rsidTr="00904865">
        <w:trPr>
          <w:trHeight w:val="400"/>
        </w:trPr>
        <w:tc>
          <w:tcPr>
            <w:tcW w:w="6537" w:type="dxa"/>
            <w:tcBorders>
              <w:top w:val="nil"/>
              <w:left w:val="nil"/>
              <w:bottom w:val="nil"/>
              <w:right w:val="nil"/>
            </w:tcBorders>
            <w:shd w:val="clear" w:color="auto" w:fill="auto"/>
            <w:vAlign w:val="bottom"/>
            <w:hideMark/>
          </w:tcPr>
          <w:p w14:paraId="789F6CC7" w14:textId="77777777" w:rsidR="00D06F83" w:rsidRPr="001A2AA4" w:rsidRDefault="00D06F83" w:rsidP="002F57F0">
            <w:pPr>
              <w:spacing w:after="0" w:line="240" w:lineRule="auto"/>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Proportion of high risk and priority mine sites proactively inspected for compliance with WHS &amp; Mining Act requirement</w:t>
            </w:r>
          </w:p>
        </w:tc>
        <w:tc>
          <w:tcPr>
            <w:tcW w:w="737" w:type="dxa"/>
            <w:tcBorders>
              <w:top w:val="nil"/>
              <w:left w:val="nil"/>
              <w:bottom w:val="nil"/>
              <w:right w:val="nil"/>
            </w:tcBorders>
            <w:shd w:val="clear" w:color="auto" w:fill="auto"/>
            <w:noWrap/>
            <w:vAlign w:val="bottom"/>
            <w:hideMark/>
          </w:tcPr>
          <w:p w14:paraId="171D188A" w14:textId="77777777" w:rsidR="00D06F83" w:rsidRPr="001A2AA4" w:rsidRDefault="00D06F83" w:rsidP="002F57F0">
            <w:pPr>
              <w:spacing w:after="0" w:line="240" w:lineRule="auto"/>
              <w:jc w:val="center"/>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vAlign w:val="bottom"/>
            <w:hideMark/>
          </w:tcPr>
          <w:p w14:paraId="52431E8E"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p>
        </w:tc>
        <w:tc>
          <w:tcPr>
            <w:tcW w:w="1134" w:type="dxa"/>
            <w:tcBorders>
              <w:top w:val="nil"/>
              <w:left w:val="nil"/>
              <w:bottom w:val="nil"/>
              <w:right w:val="nil"/>
            </w:tcBorders>
            <w:shd w:val="clear" w:color="auto" w:fill="auto"/>
            <w:vAlign w:val="bottom"/>
            <w:hideMark/>
          </w:tcPr>
          <w:p w14:paraId="73F7FECE" w14:textId="77777777" w:rsidR="00D06F83" w:rsidRPr="001A2AA4" w:rsidRDefault="00D06F83" w:rsidP="00904865">
            <w:pPr>
              <w:spacing w:after="0" w:line="240" w:lineRule="auto"/>
              <w:ind w:right="170"/>
              <w:jc w:val="right"/>
              <w:rPr>
                <w:rFonts w:ascii="Times New Roman" w:eastAsia="Times New Roman" w:hAnsi="Times New Roman" w:cs="Times New Roman"/>
                <w:szCs w:val="20"/>
                <w:lang w:eastAsia="en-AU"/>
              </w:rPr>
            </w:pPr>
          </w:p>
        </w:tc>
      </w:tr>
      <w:tr w:rsidR="00D06F83" w:rsidRPr="001A2AA4" w14:paraId="7903D77E" w14:textId="77777777" w:rsidTr="00904865">
        <w:trPr>
          <w:trHeight w:val="200"/>
        </w:trPr>
        <w:tc>
          <w:tcPr>
            <w:tcW w:w="6537" w:type="dxa"/>
            <w:tcBorders>
              <w:top w:val="nil"/>
              <w:left w:val="nil"/>
              <w:bottom w:val="nil"/>
              <w:right w:val="nil"/>
            </w:tcBorders>
            <w:shd w:val="clear" w:color="auto" w:fill="auto"/>
            <w:vAlign w:val="bottom"/>
            <w:hideMark/>
          </w:tcPr>
          <w:p w14:paraId="22BF491B" w14:textId="77777777" w:rsidR="00D06F83" w:rsidRPr="001A2AA4" w:rsidRDefault="00D06F83" w:rsidP="002F57F0">
            <w:pPr>
              <w:spacing w:after="0" w:line="240" w:lineRule="auto"/>
              <w:ind w:firstLineChars="300" w:firstLine="480"/>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WHS</w:t>
            </w:r>
          </w:p>
        </w:tc>
        <w:tc>
          <w:tcPr>
            <w:tcW w:w="737" w:type="dxa"/>
            <w:tcBorders>
              <w:top w:val="nil"/>
              <w:left w:val="nil"/>
              <w:bottom w:val="nil"/>
              <w:right w:val="nil"/>
            </w:tcBorders>
            <w:shd w:val="clear" w:color="auto" w:fill="auto"/>
            <w:noWrap/>
            <w:vAlign w:val="bottom"/>
            <w:hideMark/>
          </w:tcPr>
          <w:p w14:paraId="1F646149" w14:textId="77777777" w:rsidR="00D06F83" w:rsidRPr="001A2AA4" w:rsidRDefault="00D06F83" w:rsidP="002F57F0">
            <w:pPr>
              <w:spacing w:after="0" w:line="240" w:lineRule="auto"/>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8F4E424"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98.0</w:t>
            </w:r>
          </w:p>
        </w:tc>
        <w:tc>
          <w:tcPr>
            <w:tcW w:w="1134" w:type="dxa"/>
            <w:tcBorders>
              <w:top w:val="nil"/>
              <w:left w:val="nil"/>
              <w:bottom w:val="nil"/>
              <w:right w:val="nil"/>
            </w:tcBorders>
            <w:shd w:val="clear" w:color="auto" w:fill="auto"/>
            <w:noWrap/>
            <w:vAlign w:val="bottom"/>
            <w:hideMark/>
          </w:tcPr>
          <w:p w14:paraId="15E122E1"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100</w:t>
            </w:r>
          </w:p>
        </w:tc>
      </w:tr>
      <w:tr w:rsidR="00D06F83" w:rsidRPr="001A2AA4" w14:paraId="3526123E" w14:textId="77777777" w:rsidTr="00904865">
        <w:trPr>
          <w:trHeight w:val="200"/>
        </w:trPr>
        <w:tc>
          <w:tcPr>
            <w:tcW w:w="6537" w:type="dxa"/>
            <w:tcBorders>
              <w:top w:val="nil"/>
              <w:left w:val="nil"/>
              <w:bottom w:val="nil"/>
              <w:right w:val="nil"/>
            </w:tcBorders>
            <w:shd w:val="clear" w:color="auto" w:fill="auto"/>
            <w:vAlign w:val="bottom"/>
            <w:hideMark/>
          </w:tcPr>
          <w:p w14:paraId="236F0119" w14:textId="77777777" w:rsidR="00D06F83" w:rsidRPr="001A2AA4" w:rsidRDefault="00D06F83" w:rsidP="002F57F0">
            <w:pPr>
              <w:spacing w:after="0" w:line="240" w:lineRule="auto"/>
              <w:ind w:firstLineChars="300" w:firstLine="480"/>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Mining Act</w:t>
            </w:r>
          </w:p>
        </w:tc>
        <w:tc>
          <w:tcPr>
            <w:tcW w:w="737" w:type="dxa"/>
            <w:tcBorders>
              <w:top w:val="nil"/>
              <w:left w:val="nil"/>
              <w:bottom w:val="nil"/>
              <w:right w:val="nil"/>
            </w:tcBorders>
            <w:shd w:val="clear" w:color="auto" w:fill="auto"/>
            <w:noWrap/>
            <w:vAlign w:val="bottom"/>
            <w:hideMark/>
          </w:tcPr>
          <w:p w14:paraId="7489ED87" w14:textId="77777777" w:rsidR="00D06F83" w:rsidRPr="001A2AA4" w:rsidRDefault="00D06F83" w:rsidP="002F57F0">
            <w:pPr>
              <w:spacing w:after="0" w:line="240" w:lineRule="auto"/>
              <w:ind w:firstLineChars="300" w:firstLine="480"/>
              <w:jc w:val="center"/>
              <w:rPr>
                <w:rFonts w:ascii="Arial" w:eastAsia="Times New Roman" w:hAnsi="Arial" w:cs="Arial"/>
                <w:color w:val="000000"/>
                <w:sz w:val="16"/>
                <w:szCs w:val="16"/>
                <w:lang w:eastAsia="en-AU"/>
              </w:rPr>
            </w:pPr>
          </w:p>
        </w:tc>
        <w:tc>
          <w:tcPr>
            <w:tcW w:w="1191" w:type="dxa"/>
            <w:tcBorders>
              <w:top w:val="nil"/>
              <w:left w:val="nil"/>
              <w:bottom w:val="nil"/>
              <w:right w:val="nil"/>
            </w:tcBorders>
            <w:shd w:val="clear" w:color="auto" w:fill="auto"/>
            <w:noWrap/>
            <w:vAlign w:val="bottom"/>
            <w:hideMark/>
          </w:tcPr>
          <w:p w14:paraId="6A6A3EE3"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44.0</w:t>
            </w:r>
          </w:p>
        </w:tc>
        <w:tc>
          <w:tcPr>
            <w:tcW w:w="1134" w:type="dxa"/>
            <w:tcBorders>
              <w:top w:val="nil"/>
              <w:left w:val="nil"/>
              <w:bottom w:val="nil"/>
              <w:right w:val="nil"/>
            </w:tcBorders>
            <w:shd w:val="clear" w:color="auto" w:fill="auto"/>
            <w:noWrap/>
            <w:vAlign w:val="bottom"/>
            <w:hideMark/>
          </w:tcPr>
          <w:p w14:paraId="08FB8B92" w14:textId="77777777" w:rsidR="00D06F83" w:rsidRPr="001A2AA4" w:rsidRDefault="00D06F83" w:rsidP="00904865">
            <w:pPr>
              <w:spacing w:after="0" w:line="240" w:lineRule="auto"/>
              <w:ind w:right="170"/>
              <w:jc w:val="right"/>
              <w:rPr>
                <w:rFonts w:ascii="Arial" w:eastAsia="Times New Roman" w:hAnsi="Arial" w:cs="Arial"/>
                <w:color w:val="000000"/>
                <w:sz w:val="16"/>
                <w:szCs w:val="16"/>
                <w:lang w:eastAsia="en-AU"/>
              </w:rPr>
            </w:pPr>
            <w:r w:rsidRPr="001A2AA4">
              <w:rPr>
                <w:rFonts w:ascii="Arial" w:eastAsia="Times New Roman" w:hAnsi="Arial" w:cs="Arial"/>
                <w:color w:val="000000"/>
                <w:sz w:val="16"/>
                <w:szCs w:val="16"/>
                <w:lang w:eastAsia="en-AU"/>
              </w:rPr>
              <w:t>50.0</w:t>
            </w:r>
          </w:p>
        </w:tc>
      </w:tr>
    </w:tbl>
    <w:p w14:paraId="0CA57CD0" w14:textId="77777777" w:rsidR="002F57F0" w:rsidRPr="00927525" w:rsidRDefault="002F57F0" w:rsidP="002F57F0">
      <w:pPr>
        <w:spacing w:after="0" w:line="240" w:lineRule="auto"/>
        <w:rPr>
          <w:rFonts w:ascii="Arial" w:hAnsi="Arial" w:cs="Arial"/>
          <w:sz w:val="6"/>
          <w:szCs w:val="6"/>
        </w:rPr>
      </w:pPr>
    </w:p>
    <w:p w14:paraId="509502F6" w14:textId="77777777" w:rsidR="007C6024" w:rsidRDefault="007C6024" w:rsidP="002F57F0">
      <w:pPr>
        <w:spacing w:after="0" w:line="240" w:lineRule="auto"/>
        <w:rPr>
          <w:rFonts w:ascii="Arial" w:eastAsia="Times New Roman" w:hAnsi="Arial" w:cs="Arial"/>
          <w:color w:val="000000"/>
          <w:sz w:val="16"/>
          <w:szCs w:val="16"/>
          <w:lang w:eastAsia="en-AU"/>
        </w:rPr>
      </w:pPr>
    </w:p>
    <w:p w14:paraId="365C1534" w14:textId="3FA5A418" w:rsidR="002F57F0" w:rsidRPr="007C6024" w:rsidRDefault="002F57F0" w:rsidP="002F57F0">
      <w:pPr>
        <w:spacing w:after="0" w:line="240" w:lineRule="auto"/>
        <w:rPr>
          <w:rFonts w:ascii="Arial" w:eastAsia="Times New Roman" w:hAnsi="Arial" w:cs="Arial"/>
          <w:color w:val="000000"/>
          <w:sz w:val="16"/>
          <w:szCs w:val="16"/>
          <w:lang w:eastAsia="en-AU"/>
        </w:rPr>
      </w:pPr>
      <w:r w:rsidRPr="007C6024">
        <w:rPr>
          <w:rFonts w:ascii="Arial" w:eastAsia="Times New Roman" w:hAnsi="Arial" w:cs="Arial"/>
          <w:color w:val="000000"/>
          <w:sz w:val="16"/>
          <w:szCs w:val="16"/>
          <w:lang w:eastAsia="en-AU"/>
        </w:rPr>
        <w:t>Note</w:t>
      </w:r>
    </w:p>
    <w:p w14:paraId="197F391F" w14:textId="3D1D860B" w:rsidR="002F57F0" w:rsidRPr="001A2AA4" w:rsidRDefault="002F57F0" w:rsidP="002F57F0">
      <w:pPr>
        <w:spacing w:after="0" w:line="240" w:lineRule="auto"/>
        <w:ind w:left="357" w:hanging="357"/>
        <w:rPr>
          <w:rFonts w:ascii="Arial" w:eastAsia="Times New Roman" w:hAnsi="Arial" w:cs="Arial"/>
          <w:color w:val="000000"/>
          <w:sz w:val="17"/>
          <w:szCs w:val="17"/>
          <w:lang w:eastAsia="en-AU"/>
        </w:rPr>
      </w:pPr>
      <w:r w:rsidRPr="001A2AA4">
        <w:rPr>
          <w:rFonts w:ascii="Arial" w:eastAsia="Times New Roman" w:hAnsi="Arial" w:cs="Arial"/>
          <w:color w:val="000000"/>
          <w:sz w:val="17"/>
          <w:szCs w:val="17"/>
          <w:lang w:eastAsia="en-AU"/>
        </w:rPr>
        <w:t xml:space="preserve">(a) </w:t>
      </w:r>
      <w:r w:rsidR="00410B22">
        <w:rPr>
          <w:rFonts w:ascii="Arial" w:eastAsia="Times New Roman" w:hAnsi="Arial" w:cs="Arial"/>
          <w:color w:val="000000"/>
          <w:sz w:val="17"/>
          <w:szCs w:val="17"/>
          <w:lang w:eastAsia="en-AU"/>
        </w:rPr>
        <w:t xml:space="preserve"> </w:t>
      </w:r>
      <w:r w:rsidRPr="001A2AA4">
        <w:rPr>
          <w:rFonts w:ascii="Arial" w:eastAsia="Times New Roman" w:hAnsi="Arial" w:cs="Arial"/>
          <w:color w:val="000000"/>
          <w:sz w:val="17"/>
          <w:szCs w:val="17"/>
          <w:lang w:eastAsia="en-AU"/>
        </w:rPr>
        <w:t>As this indicator is measured on a calendar year basis, 2019-20 actual data and 2020-21 forecast relates to 2019 and 2020 respectively</w:t>
      </w:r>
      <w:r w:rsidR="00410B22">
        <w:rPr>
          <w:rFonts w:ascii="Arial" w:eastAsia="Times New Roman" w:hAnsi="Arial" w:cs="Arial"/>
          <w:color w:val="000000"/>
          <w:sz w:val="17"/>
          <w:szCs w:val="17"/>
          <w:lang w:eastAsia="en-AU"/>
        </w:rPr>
        <w:t>.</w:t>
      </w:r>
    </w:p>
    <w:p w14:paraId="338ADEC6" w14:textId="77777777" w:rsidR="001A2AA4" w:rsidRDefault="00E14CE1">
      <w:pPr>
        <w:rPr>
          <w:rFonts w:ascii="Arial" w:hAnsi="Arial" w:cs="Arial"/>
        </w:rPr>
      </w:pPr>
      <w:r>
        <w:rPr>
          <w:rFonts w:ascii="Arial" w:hAnsi="Arial" w:cs="Arial"/>
        </w:rPr>
        <w:fldChar w:fldCharType="begin"/>
      </w:r>
      <w:r>
        <w:rPr>
          <w:rFonts w:ascii="Arial" w:hAnsi="Arial" w:cs="Arial"/>
        </w:rPr>
        <w:fldChar w:fldCharType="end"/>
      </w:r>
      <w:r w:rsidR="00E42974">
        <w:rPr>
          <w:rFonts w:ascii="Arial" w:hAnsi="Arial" w:cs="Arial"/>
        </w:rPr>
        <w:br w:type="page"/>
      </w:r>
    </w:p>
    <w:p w14:paraId="0E653863" w14:textId="59C5C322" w:rsidR="00AE5092" w:rsidRPr="00BB3EAE" w:rsidRDefault="008D4450" w:rsidP="00E7560B">
      <w:pPr>
        <w:pStyle w:val="11Heading2"/>
        <w:numPr>
          <w:ilvl w:val="1"/>
          <w:numId w:val="8"/>
        </w:numPr>
        <w:rPr>
          <w:rFonts w:cs="Arial"/>
        </w:rPr>
      </w:pPr>
      <w:r>
        <w:rPr>
          <w:rFonts w:cs="Arial"/>
        </w:rPr>
        <w:lastRenderedPageBreak/>
        <w:t xml:space="preserve">Outcome </w:t>
      </w:r>
      <w:r w:rsidR="00026FBB">
        <w:rPr>
          <w:rFonts w:cs="Arial"/>
        </w:rPr>
        <w:t xml:space="preserve">4: </w:t>
      </w:r>
      <w:r w:rsidR="00BB3EAE" w:rsidRPr="00BB3EAE">
        <w:rPr>
          <w:rFonts w:cs="Arial"/>
        </w:rPr>
        <w:t>Stronger and cohesive regional communities and economies</w:t>
      </w:r>
    </w:p>
    <w:tbl>
      <w:tblPr>
        <w:tblpPr w:leftFromText="180" w:rightFromText="180" w:vertAnchor="text" w:horzAnchor="margin" w:tblpXSpec="right" w:tblpY="733"/>
        <w:tblW w:w="1716" w:type="pct"/>
        <w:shd w:val="clear" w:color="auto" w:fill="F2F2F2" w:themeFill="background1" w:themeFillShade="F2"/>
        <w:tblCellMar>
          <w:left w:w="115" w:type="dxa"/>
          <w:right w:w="115" w:type="dxa"/>
        </w:tblCellMar>
        <w:tblLook w:val="04A0" w:firstRow="1" w:lastRow="0" w:firstColumn="1" w:lastColumn="0" w:noHBand="0" w:noVBand="1"/>
      </w:tblPr>
      <w:tblGrid>
        <w:gridCol w:w="1144"/>
        <w:gridCol w:w="967"/>
        <w:gridCol w:w="1197"/>
      </w:tblGrid>
      <w:tr w:rsidR="00AE5092" w:rsidRPr="00F8244B" w14:paraId="48716048" w14:textId="77777777" w:rsidTr="562BA290">
        <w:trPr>
          <w:cantSplit/>
          <w:trHeight w:val="784"/>
        </w:trPr>
        <w:tc>
          <w:tcPr>
            <w:tcW w:w="1729" w:type="pct"/>
            <w:shd w:val="clear" w:color="auto" w:fill="F2F2F2" w:themeFill="background1" w:themeFillShade="F2"/>
            <w:vAlign w:val="center"/>
          </w:tcPr>
          <w:p w14:paraId="5C30E376" w14:textId="77777777" w:rsidR="00AE5092" w:rsidRPr="00F8244B" w:rsidRDefault="00AE5092" w:rsidP="0031374E">
            <w:pPr>
              <w:spacing w:before="120" w:after="120"/>
              <w:rPr>
                <w:rFonts w:ascii="Arial" w:hAnsi="Arial" w:cs="Arial"/>
                <w:sz w:val="23"/>
                <w:szCs w:val="23"/>
              </w:rPr>
            </w:pPr>
            <w:r w:rsidRPr="00F8244B">
              <w:rPr>
                <w:rFonts w:ascii="Arial" w:hAnsi="Arial" w:cs="Arial"/>
                <w:noProof/>
                <w:lang w:eastAsia="en-AU"/>
              </w:rPr>
              <w:drawing>
                <wp:inline distT="0" distB="0" distL="0" distR="0" wp14:anchorId="09558965" wp14:editId="3184A0A3">
                  <wp:extent cx="518160" cy="518160"/>
                  <wp:effectExtent l="0" t="0" r="0" b="0"/>
                  <wp:docPr id="9" name="Picture 9" descr="H:\Documents\Downloads\BP3 icons-V02-Expense.png"/>
                  <wp:cNvGraphicFramePr/>
                  <a:graphic xmlns:a="http://schemas.openxmlformats.org/drawingml/2006/main">
                    <a:graphicData uri="http://schemas.openxmlformats.org/drawingml/2006/picture">
                      <pic:pic xmlns:pic="http://schemas.openxmlformats.org/drawingml/2006/picture">
                        <pic:nvPicPr>
                          <pic:cNvPr id="6" name="Picture 6" descr="H:\Documents\Downloads\BP3 icons-V02-Expense.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5A931A3B" w14:textId="21538647" w:rsidR="00AE5092" w:rsidRPr="00034E8E" w:rsidRDefault="562BA290" w:rsidP="0031374E">
            <w:pPr>
              <w:spacing w:before="120" w:after="120"/>
              <w:jc w:val="center"/>
              <w:rPr>
                <w:rFonts w:ascii="Arial" w:hAnsi="Arial" w:cs="Arial"/>
                <w:color w:val="00ABE6"/>
                <w:sz w:val="18"/>
                <w:szCs w:val="18"/>
              </w:rPr>
            </w:pPr>
            <w:r w:rsidRPr="00034E8E">
              <w:rPr>
                <w:rFonts w:ascii="Arial" w:hAnsi="Arial" w:cs="Arial"/>
                <w:color w:val="00ABE6"/>
                <w:sz w:val="18"/>
                <w:szCs w:val="18"/>
              </w:rPr>
              <w:t>$1.3 billion</w:t>
            </w:r>
          </w:p>
        </w:tc>
        <w:tc>
          <w:tcPr>
            <w:tcW w:w="1809" w:type="pct"/>
            <w:shd w:val="clear" w:color="auto" w:fill="F2F2F2" w:themeFill="background1" w:themeFillShade="F2"/>
            <w:vAlign w:val="center"/>
          </w:tcPr>
          <w:p w14:paraId="586226A5" w14:textId="77777777" w:rsidR="00AE5092" w:rsidRPr="00F8244B" w:rsidRDefault="00AE5092" w:rsidP="0031374E">
            <w:pPr>
              <w:rPr>
                <w:rFonts w:ascii="Arial" w:hAnsi="Arial" w:cs="Arial"/>
                <w:color w:val="00ABE6"/>
                <w:sz w:val="18"/>
                <w:szCs w:val="18"/>
              </w:rPr>
            </w:pPr>
            <w:r w:rsidRPr="00F8244B">
              <w:rPr>
                <w:rFonts w:ascii="Arial" w:hAnsi="Arial" w:cs="Arial"/>
                <w:color w:val="00ABE6"/>
                <w:sz w:val="18"/>
                <w:szCs w:val="18"/>
              </w:rPr>
              <w:t>Recurrent</w:t>
            </w:r>
            <w:r w:rsidRPr="00F8244B">
              <w:rPr>
                <w:rFonts w:ascii="Arial" w:hAnsi="Arial" w:cs="Arial"/>
                <w:color w:val="00ABE6"/>
                <w:sz w:val="18"/>
                <w:szCs w:val="18"/>
              </w:rPr>
              <w:br/>
              <w:t xml:space="preserve">Expenses </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r w:rsidR="00AE5092" w:rsidRPr="00F8244B" w14:paraId="3BABC79A" w14:textId="77777777" w:rsidTr="562BA290">
        <w:trPr>
          <w:cantSplit/>
          <w:trHeight w:val="784"/>
        </w:trPr>
        <w:tc>
          <w:tcPr>
            <w:tcW w:w="1729" w:type="pct"/>
            <w:shd w:val="clear" w:color="auto" w:fill="F2F2F2" w:themeFill="background1" w:themeFillShade="F2"/>
            <w:vAlign w:val="center"/>
          </w:tcPr>
          <w:p w14:paraId="408789EA" w14:textId="77777777" w:rsidR="00AE5092" w:rsidRPr="00F8244B" w:rsidRDefault="00AE5092" w:rsidP="0031374E">
            <w:pPr>
              <w:spacing w:before="120" w:after="120"/>
              <w:rPr>
                <w:rFonts w:ascii="Arial" w:hAnsi="Arial" w:cs="Arial"/>
                <w:noProof/>
                <w:sz w:val="23"/>
                <w:szCs w:val="23"/>
                <w:lang w:eastAsia="en-AU"/>
              </w:rPr>
            </w:pPr>
            <w:r w:rsidRPr="00F8244B">
              <w:rPr>
                <w:rFonts w:ascii="Arial" w:hAnsi="Arial" w:cs="Arial"/>
                <w:noProof/>
                <w:lang w:eastAsia="en-AU"/>
              </w:rPr>
              <w:drawing>
                <wp:inline distT="0" distB="0" distL="0" distR="0" wp14:anchorId="481368DA" wp14:editId="2BAA52A8">
                  <wp:extent cx="525145" cy="525145"/>
                  <wp:effectExtent l="0" t="0" r="8255" b="8255"/>
                  <wp:docPr id="10" name="Picture 10" descr="H:\Documents\Downloads\BP3 icons-V02-Capital Expenditure 03.png"/>
                  <wp:cNvGraphicFramePr/>
                  <a:graphic xmlns:a="http://schemas.openxmlformats.org/drawingml/2006/main">
                    <a:graphicData uri="http://schemas.openxmlformats.org/drawingml/2006/picture">
                      <pic:pic xmlns:pic="http://schemas.openxmlformats.org/drawingml/2006/picture">
                        <pic:nvPicPr>
                          <pic:cNvPr id="8" name="Picture 8" descr="H:\Documents\Downloads\BP3 icons-V02-Capital Expenditure 03.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solidFill>
                            <a:srgbClr val="F2F2F2"/>
                          </a:solidFill>
                          <a:ln>
                            <a:noFill/>
                          </a:ln>
                        </pic:spPr>
                      </pic:pic>
                    </a:graphicData>
                  </a:graphic>
                </wp:inline>
              </w:drawing>
            </w:r>
          </w:p>
        </w:tc>
        <w:tc>
          <w:tcPr>
            <w:tcW w:w="1462" w:type="pct"/>
            <w:shd w:val="clear" w:color="auto" w:fill="F2F2F2" w:themeFill="background1" w:themeFillShade="F2"/>
            <w:vAlign w:val="center"/>
          </w:tcPr>
          <w:p w14:paraId="2AC2B518" w14:textId="6547FE9A" w:rsidR="00AE5092" w:rsidRPr="00034E8E" w:rsidRDefault="00AE5092" w:rsidP="0031374E">
            <w:pPr>
              <w:spacing w:before="120" w:after="120"/>
              <w:jc w:val="center"/>
              <w:rPr>
                <w:rFonts w:ascii="Arial" w:hAnsi="Arial" w:cs="Arial"/>
                <w:color w:val="00ABE6"/>
                <w:sz w:val="18"/>
                <w:szCs w:val="18"/>
              </w:rPr>
            </w:pPr>
            <w:r w:rsidRPr="00034E8E">
              <w:rPr>
                <w:rFonts w:ascii="Arial" w:hAnsi="Arial" w:cs="Arial"/>
                <w:color w:val="00ABE6"/>
                <w:sz w:val="18"/>
                <w:szCs w:val="18"/>
              </w:rPr>
              <w:t>$</w:t>
            </w:r>
            <w:r w:rsidR="00B64DCD" w:rsidRPr="00034E8E">
              <w:rPr>
                <w:rFonts w:ascii="Arial" w:hAnsi="Arial" w:cs="Arial"/>
                <w:color w:val="00ABE6"/>
                <w:sz w:val="18"/>
                <w:szCs w:val="18"/>
              </w:rPr>
              <w:t>236</w:t>
            </w:r>
            <w:r w:rsidR="009834F8" w:rsidRPr="00034E8E">
              <w:rPr>
                <w:rFonts w:ascii="Arial" w:hAnsi="Arial" w:cs="Arial"/>
                <w:color w:val="00ABE6"/>
                <w:sz w:val="18"/>
                <w:szCs w:val="18"/>
              </w:rPr>
              <w:t>.6</w:t>
            </w:r>
            <w:r w:rsidRPr="00034E8E">
              <w:rPr>
                <w:rFonts w:ascii="Arial" w:hAnsi="Arial" w:cs="Arial"/>
                <w:color w:val="00ABE6"/>
                <w:sz w:val="18"/>
                <w:szCs w:val="18"/>
              </w:rPr>
              <w:t xml:space="preserve"> million</w:t>
            </w:r>
          </w:p>
        </w:tc>
        <w:tc>
          <w:tcPr>
            <w:tcW w:w="1809" w:type="pct"/>
            <w:shd w:val="clear" w:color="auto" w:fill="F2F2F2" w:themeFill="background1" w:themeFillShade="F2"/>
            <w:vAlign w:val="center"/>
          </w:tcPr>
          <w:p w14:paraId="0AAA2074" w14:textId="77777777" w:rsidR="00AE5092" w:rsidRPr="00F8244B" w:rsidRDefault="00AE5092" w:rsidP="0031374E">
            <w:pPr>
              <w:rPr>
                <w:rFonts w:ascii="Arial" w:hAnsi="Arial" w:cs="Arial"/>
                <w:color w:val="00ABE6"/>
                <w:sz w:val="18"/>
                <w:szCs w:val="18"/>
              </w:rPr>
            </w:pPr>
            <w:r w:rsidRPr="00F8244B">
              <w:rPr>
                <w:rFonts w:ascii="Arial" w:hAnsi="Arial" w:cs="Arial"/>
                <w:color w:val="00ABE6"/>
                <w:sz w:val="18"/>
                <w:szCs w:val="18"/>
              </w:rPr>
              <w:t>Capital</w:t>
            </w:r>
            <w:r w:rsidRPr="00F8244B">
              <w:rPr>
                <w:rFonts w:ascii="Arial" w:hAnsi="Arial" w:cs="Arial"/>
                <w:color w:val="00ABE6"/>
                <w:sz w:val="18"/>
                <w:szCs w:val="18"/>
              </w:rPr>
              <w:br/>
              <w:t>Expenditure</w:t>
            </w:r>
            <w:r w:rsidRPr="00F8244B">
              <w:rPr>
                <w:rFonts w:ascii="Arial" w:hAnsi="Arial" w:cs="Arial"/>
                <w:color w:val="00ABE6"/>
                <w:sz w:val="18"/>
                <w:szCs w:val="18"/>
              </w:rPr>
              <w:br/>
              <w:t>20</w:t>
            </w:r>
            <w:r>
              <w:rPr>
                <w:rFonts w:ascii="Arial" w:hAnsi="Arial" w:cs="Arial"/>
                <w:color w:val="00ABE6"/>
                <w:sz w:val="18"/>
                <w:szCs w:val="18"/>
              </w:rPr>
              <w:t>20</w:t>
            </w:r>
            <w:r w:rsidRPr="00F8244B">
              <w:rPr>
                <w:rFonts w:ascii="Arial" w:hAnsi="Arial" w:cs="Arial"/>
                <w:color w:val="00ABE6"/>
                <w:sz w:val="18"/>
                <w:szCs w:val="18"/>
              </w:rPr>
              <w:t>-2</w:t>
            </w:r>
            <w:r>
              <w:rPr>
                <w:rFonts w:ascii="Arial" w:hAnsi="Arial" w:cs="Arial"/>
                <w:color w:val="00ABE6"/>
                <w:sz w:val="18"/>
                <w:szCs w:val="18"/>
              </w:rPr>
              <w:t>1</w:t>
            </w:r>
          </w:p>
        </w:tc>
      </w:tr>
    </w:tbl>
    <w:p w14:paraId="48152108" w14:textId="77777777" w:rsidR="00AE5092" w:rsidRPr="003A0DAC" w:rsidRDefault="00AE5092" w:rsidP="003D52C5">
      <w:pPr>
        <w:pStyle w:val="Heading3"/>
        <w:spacing w:before="240" w:after="100"/>
        <w:rPr>
          <w:rFonts w:ascii="Arial" w:hAnsi="Arial" w:cs="Arial"/>
        </w:rPr>
      </w:pPr>
      <w:r w:rsidRPr="003A0DAC">
        <w:rPr>
          <w:rFonts w:ascii="Arial" w:hAnsi="Arial" w:cs="Arial"/>
        </w:rPr>
        <w:t>State Outcome overview and 2020-21 investment</w:t>
      </w:r>
    </w:p>
    <w:p w14:paraId="2C874EE8" w14:textId="2FDE2930" w:rsidR="00D42E5D" w:rsidRPr="0035164E" w:rsidRDefault="00D42E5D" w:rsidP="004052A2">
      <w:pPr>
        <w:pStyle w:val="BodyText"/>
      </w:pPr>
      <w:bookmarkStart w:id="11" w:name="_Hlk53130640"/>
      <w:bookmarkEnd w:id="11"/>
      <w:r w:rsidRPr="0035164E">
        <w:t xml:space="preserve">Led by Public Works Advisory &amp; Regional Development and Strategy, Delivery &amp; Performance divisions, this </w:t>
      </w:r>
      <w:r w:rsidR="00410B22">
        <w:t>O</w:t>
      </w:r>
      <w:r w:rsidRPr="0035164E">
        <w:t xml:space="preserve">utcome’s focus is community wellbeing and economic growth in regional </w:t>
      </w:r>
      <w:r w:rsidR="00592C0F">
        <w:t>New South Wales</w:t>
      </w:r>
      <w:r w:rsidRPr="0035164E">
        <w:t>. The regions have</w:t>
      </w:r>
      <w:r w:rsidR="00BB3EAE" w:rsidRPr="0035164E">
        <w:t xml:space="preserve"> endured unprecedented destruction and disruption </w:t>
      </w:r>
      <w:r w:rsidRPr="0035164E">
        <w:t>through</w:t>
      </w:r>
      <w:r w:rsidR="00BB3EAE" w:rsidRPr="0035164E">
        <w:t xml:space="preserve"> the compounding impacts of droughts, bushfires, floods and COVID-19.</w:t>
      </w:r>
      <w:r w:rsidR="65325E75" w:rsidRPr="0035164E">
        <w:t xml:space="preserve"> </w:t>
      </w:r>
      <w:r w:rsidRPr="0035164E">
        <w:t>The</w:t>
      </w:r>
      <w:r w:rsidR="00BB3EAE" w:rsidRPr="0035164E">
        <w:t xml:space="preserve"> </w:t>
      </w:r>
      <w:r w:rsidRPr="0035164E">
        <w:t>implementation of</w:t>
      </w:r>
      <w:r w:rsidR="00BB3EAE" w:rsidRPr="0035164E">
        <w:t xml:space="preserve"> </w:t>
      </w:r>
      <w:r w:rsidR="37699211" w:rsidRPr="0035164E">
        <w:t>a refresh</w:t>
      </w:r>
      <w:r w:rsidR="00CE4879">
        <w:t>ed</w:t>
      </w:r>
      <w:r w:rsidR="37699211" w:rsidRPr="0035164E">
        <w:t xml:space="preserve"> of </w:t>
      </w:r>
      <w:r w:rsidR="1CEBC6BF" w:rsidRPr="0035164E">
        <w:t xml:space="preserve">the </w:t>
      </w:r>
      <w:r w:rsidR="1CEBC6BF" w:rsidRPr="007D7B29">
        <w:rPr>
          <w:i/>
        </w:rPr>
        <w:t>20</w:t>
      </w:r>
      <w:r w:rsidR="00EA4317" w:rsidRPr="007D7B29">
        <w:rPr>
          <w:i/>
        </w:rPr>
        <w:noBreakHyphen/>
      </w:r>
      <w:r w:rsidR="1CEBC6BF" w:rsidRPr="007D7B29">
        <w:rPr>
          <w:i/>
        </w:rPr>
        <w:t xml:space="preserve">Year </w:t>
      </w:r>
      <w:r w:rsidR="365CB9B6" w:rsidRPr="007D7B29">
        <w:rPr>
          <w:i/>
        </w:rPr>
        <w:t>E</w:t>
      </w:r>
      <w:r w:rsidR="1CEBC6BF" w:rsidRPr="007D7B29">
        <w:rPr>
          <w:i/>
        </w:rPr>
        <w:t xml:space="preserve">conomic </w:t>
      </w:r>
      <w:r w:rsidR="036D06D4" w:rsidRPr="007D7B29">
        <w:rPr>
          <w:i/>
        </w:rPr>
        <w:t>V</w:t>
      </w:r>
      <w:r w:rsidR="1CEBC6BF" w:rsidRPr="007D7B29">
        <w:rPr>
          <w:i/>
        </w:rPr>
        <w:t>ision for Regional NSW</w:t>
      </w:r>
      <w:r w:rsidR="00BB3EAE" w:rsidRPr="0035164E">
        <w:t xml:space="preserve"> </w:t>
      </w:r>
      <w:r w:rsidRPr="0035164E">
        <w:t>will</w:t>
      </w:r>
      <w:r w:rsidR="00BB3EAE" w:rsidRPr="0035164E">
        <w:t xml:space="preserve"> </w:t>
      </w:r>
      <w:r w:rsidR="0BFBB7C3" w:rsidRPr="0035164E">
        <w:t xml:space="preserve">support </w:t>
      </w:r>
      <w:r w:rsidR="32DC2384" w:rsidRPr="0035164E">
        <w:t xml:space="preserve">industries and </w:t>
      </w:r>
      <w:r w:rsidR="0BFBB7C3" w:rsidRPr="0035164E">
        <w:t xml:space="preserve">communities to recover and build resilience. </w:t>
      </w:r>
    </w:p>
    <w:p w14:paraId="64EEFFBE" w14:textId="5883FB1F" w:rsidR="00AE5092" w:rsidRPr="00960516" w:rsidRDefault="562BA290" w:rsidP="00415F0B">
      <w:pPr>
        <w:pStyle w:val="Heading3"/>
      </w:pPr>
      <w:r w:rsidRPr="562BA290">
        <w:t xml:space="preserve">2020-21 State Outcome Budget </w:t>
      </w:r>
      <w:r w:rsidR="00410B22">
        <w:t>h</w:t>
      </w:r>
      <w:r w:rsidRPr="562BA290">
        <w:t>ighlights</w:t>
      </w:r>
    </w:p>
    <w:p w14:paraId="268BF59F" w14:textId="3DB672CF" w:rsidR="00846E4B" w:rsidRPr="00960516" w:rsidRDefault="562BA290" w:rsidP="004052A2">
      <w:pPr>
        <w:pStyle w:val="BodyText"/>
      </w:pPr>
      <w:r w:rsidRPr="562BA290">
        <w:t xml:space="preserve">In 2020-21, the Regional NSW </w:t>
      </w:r>
      <w:r w:rsidR="008E3560">
        <w:t>Cluster</w:t>
      </w:r>
      <w:r w:rsidRPr="0054309C">
        <w:t xml:space="preserve"> will invest $1.5 billion ($1.3 billion recurrent expenses and $236.6 million capital expenditure) in this </w:t>
      </w:r>
      <w:r w:rsidR="00410B22">
        <w:t>O</w:t>
      </w:r>
      <w:r w:rsidRPr="0054309C">
        <w:t>utcome, including:</w:t>
      </w:r>
    </w:p>
    <w:p w14:paraId="625A9EB7" w14:textId="1C980EA6" w:rsidR="00846E4B" w:rsidRPr="00133C84" w:rsidRDefault="562BA290" w:rsidP="004052A2">
      <w:pPr>
        <w:pStyle w:val="Bullet1"/>
      </w:pPr>
      <w:r w:rsidRPr="562BA290">
        <w:t>$</w:t>
      </w:r>
      <w:r w:rsidR="00674638">
        <w:t>560.5</w:t>
      </w:r>
      <w:r w:rsidRPr="562BA290">
        <w:t xml:space="preserve"> million </w:t>
      </w:r>
      <w:r w:rsidRPr="00D14E52">
        <w:t>(</w:t>
      </w:r>
      <w:r w:rsidRPr="00B50F38">
        <w:t>$</w:t>
      </w:r>
      <w:r w:rsidR="00674638">
        <w:t>830.2</w:t>
      </w:r>
      <w:r w:rsidRPr="00783E14">
        <w:t xml:space="preserve"> million in expenses over three years) for the </w:t>
      </w:r>
      <w:r w:rsidRPr="00783E14">
        <w:rPr>
          <w:i/>
          <w:iCs/>
        </w:rPr>
        <w:t>Make Safe and Clean</w:t>
      </w:r>
      <w:r w:rsidR="00066CC0">
        <w:rPr>
          <w:i/>
          <w:iCs/>
        </w:rPr>
        <w:noBreakHyphen/>
      </w:r>
      <w:r w:rsidRPr="00783E14">
        <w:rPr>
          <w:i/>
          <w:iCs/>
        </w:rPr>
        <w:t>up Program</w:t>
      </w:r>
      <w:r w:rsidRPr="00783E14">
        <w:t xml:space="preserve"> and to deliver the </w:t>
      </w:r>
      <w:r w:rsidRPr="00783E14">
        <w:rPr>
          <w:i/>
          <w:iCs/>
        </w:rPr>
        <w:t>Bushfire Industry Recovery Package</w:t>
      </w:r>
      <w:r w:rsidRPr="00783E14">
        <w:t xml:space="preserve"> and the </w:t>
      </w:r>
      <w:r w:rsidRPr="00783E14">
        <w:rPr>
          <w:i/>
          <w:iCs/>
        </w:rPr>
        <w:t xml:space="preserve">Bushfire </w:t>
      </w:r>
      <w:r w:rsidR="00717F8A" w:rsidRPr="00783E14">
        <w:rPr>
          <w:i/>
          <w:iCs/>
        </w:rPr>
        <w:t xml:space="preserve">Local Economic </w:t>
      </w:r>
      <w:r w:rsidRPr="00783E14">
        <w:rPr>
          <w:i/>
          <w:iCs/>
        </w:rPr>
        <w:t>Recovery Fund</w:t>
      </w:r>
      <w:r w:rsidRPr="00783E14">
        <w:t xml:space="preserve"> following the 2019-20 </w:t>
      </w:r>
      <w:r w:rsidR="009C20F8" w:rsidRPr="00783E14">
        <w:t>b</w:t>
      </w:r>
      <w:r w:rsidRPr="00783E14">
        <w:t>ushfires</w:t>
      </w:r>
      <w:r w:rsidR="00874789" w:rsidRPr="00783E14">
        <w:t>, including co-funding from the Commonwealth</w:t>
      </w:r>
    </w:p>
    <w:p w14:paraId="5435CB8D" w14:textId="539A73E3" w:rsidR="008C1DFD" w:rsidRPr="0083798F" w:rsidRDefault="008C1DFD" w:rsidP="004052A2">
      <w:pPr>
        <w:pStyle w:val="Bullet1"/>
      </w:pPr>
      <w:r w:rsidRPr="0035164E">
        <w:t>$</w:t>
      </w:r>
      <w:r w:rsidR="00CD2745">
        <w:t>323.1</w:t>
      </w:r>
      <w:r w:rsidRPr="0035164E">
        <w:t xml:space="preserve"> million ($</w:t>
      </w:r>
      <w:r w:rsidR="00CD2745">
        <w:t>201.8</w:t>
      </w:r>
      <w:r w:rsidRPr="0035164E">
        <w:t xml:space="preserve"> million recurrent expenses and $397.8 million capital over four years) for Snowy Hydro Legacy Fund projects including Special Activation Precincts to deliver place</w:t>
      </w:r>
      <w:r w:rsidR="00EA4317">
        <w:t>-</w:t>
      </w:r>
      <w:r w:rsidRPr="0035164E">
        <w:t xml:space="preserve">based solutions to </w:t>
      </w:r>
      <w:r w:rsidR="00EA4317">
        <w:t>foster</w:t>
      </w:r>
      <w:r w:rsidR="00EA4317" w:rsidRPr="0035164E">
        <w:t xml:space="preserve"> </w:t>
      </w:r>
      <w:r w:rsidRPr="0035164E">
        <w:t>economic development, and to bring a faster</w:t>
      </w:r>
      <w:r w:rsidR="00EA4317">
        <w:t xml:space="preserve">, </w:t>
      </w:r>
      <w:r w:rsidRPr="0035164E">
        <w:t xml:space="preserve">more </w:t>
      </w:r>
      <w:r w:rsidRPr="0083798F">
        <w:t xml:space="preserve">reliable digital network to regional NSW through the </w:t>
      </w:r>
      <w:r w:rsidRPr="0083798F">
        <w:rPr>
          <w:i/>
          <w:iCs/>
        </w:rPr>
        <w:t>Regional Digital Connectivity Program</w:t>
      </w:r>
    </w:p>
    <w:p w14:paraId="65850283" w14:textId="5A6705FB" w:rsidR="003F3E21" w:rsidRPr="008F0ED4" w:rsidRDefault="00CD2164" w:rsidP="003F3E21">
      <w:pPr>
        <w:pStyle w:val="Bullet1"/>
      </w:pPr>
      <w:r>
        <w:t>$2</w:t>
      </w:r>
      <w:r w:rsidR="003F3E21">
        <w:t>12</w:t>
      </w:r>
      <w:r>
        <w:t>.</w:t>
      </w:r>
      <w:r w:rsidR="003F3E21">
        <w:t>5</w:t>
      </w:r>
      <w:r>
        <w:t xml:space="preserve"> million ($509.2 million expenses over four years) enabling the growth, development and wellbeing in regional New South Wales</w:t>
      </w:r>
      <w:r w:rsidR="003F3E21">
        <w:t xml:space="preserve">, including </w:t>
      </w:r>
      <w:r w:rsidR="003F3E21" w:rsidRPr="008F0ED4">
        <w:t xml:space="preserve">$18.2 million ($60.6 million </w:t>
      </w:r>
      <w:r w:rsidR="003F3E21">
        <w:t xml:space="preserve">expenses </w:t>
      </w:r>
      <w:r w:rsidR="003F3E21" w:rsidRPr="008F0ED4">
        <w:t>over four years) to deliver a new round of Resources for Regions and for the Indigenous Tourism stream of the Regional Growth Environment and Tourism Fund</w:t>
      </w:r>
    </w:p>
    <w:p w14:paraId="3B0D010F" w14:textId="1D1A59EC" w:rsidR="00311C6D" w:rsidRPr="00311C6D" w:rsidRDefault="562BA290" w:rsidP="00311C6D">
      <w:pPr>
        <w:pStyle w:val="Bullet1"/>
      </w:pPr>
      <w:r w:rsidRPr="562BA290">
        <w:t>$107.7 million ($261.8 million over two years)</w:t>
      </w:r>
      <w:r w:rsidR="00874789">
        <w:t xml:space="preserve"> from the $3.0 billion </w:t>
      </w:r>
      <w:r w:rsidR="00874789" w:rsidRPr="00034E8E">
        <w:rPr>
          <w:i/>
          <w:iCs/>
        </w:rPr>
        <w:t>Jobs and Infrastructure Acceleration Fund</w:t>
      </w:r>
      <w:r w:rsidRPr="562BA290">
        <w:t xml:space="preserve"> to </w:t>
      </w:r>
      <w:r w:rsidR="00874789">
        <w:t>deliver</w:t>
      </w:r>
      <w:r w:rsidR="00874789" w:rsidRPr="562BA290">
        <w:t xml:space="preserve"> </w:t>
      </w:r>
      <w:r w:rsidRPr="562BA290">
        <w:t>a regional stimulus package</w:t>
      </w:r>
      <w:r w:rsidR="00874789">
        <w:t xml:space="preserve">, including the new $100.0 million </w:t>
      </w:r>
      <w:r w:rsidR="00874789" w:rsidRPr="00034E8E">
        <w:rPr>
          <w:i/>
          <w:iCs/>
        </w:rPr>
        <w:t>Regional Job Creation Fund</w:t>
      </w:r>
      <w:r w:rsidRPr="562BA290">
        <w:t xml:space="preserve"> to incentiv</w:t>
      </w:r>
      <w:r w:rsidR="00874789">
        <w:t>ise</w:t>
      </w:r>
      <w:r w:rsidRPr="562BA290">
        <w:t xml:space="preserve"> the attraction and expansion of businesses and job retention and creation in regional NSW and </w:t>
      </w:r>
      <w:r w:rsidR="00874789">
        <w:t>delivery of fast tracked infrastructure projects,</w:t>
      </w:r>
      <w:r w:rsidRPr="562BA290">
        <w:t xml:space="preserve"> including $25.0 million for the Orange Sports Complex</w:t>
      </w:r>
    </w:p>
    <w:p w14:paraId="2AB84088" w14:textId="77777777" w:rsidR="00F4444C" w:rsidRPr="0030517D" w:rsidRDefault="00F4444C" w:rsidP="00F4444C">
      <w:pPr>
        <w:pStyle w:val="Bullet1"/>
      </w:pPr>
      <w:r>
        <w:t>$80.0 million ($300.0 million over two years) to provide for the Regional Growth Fund 2.0 to boost regional economic stimulus and job creation, including:</w:t>
      </w:r>
    </w:p>
    <w:p w14:paraId="367335F5" w14:textId="77777777" w:rsidR="00F4444C" w:rsidRPr="008F0ED4" w:rsidRDefault="00F4444C" w:rsidP="00F4444C">
      <w:pPr>
        <w:pStyle w:val="Bullet2"/>
      </w:pPr>
      <w:r w:rsidRPr="008F0ED4">
        <w:t>$10.0 million over four years for the Office for Regional Youth</w:t>
      </w:r>
    </w:p>
    <w:p w14:paraId="7CE9C40D" w14:textId="02E95233" w:rsidR="00F4444C" w:rsidRPr="008F0ED4" w:rsidRDefault="00F4444C" w:rsidP="00F4444C">
      <w:pPr>
        <w:pStyle w:val="Bullet2"/>
      </w:pPr>
      <w:r w:rsidRPr="008F0ED4">
        <w:t xml:space="preserve">$3.0 </w:t>
      </w:r>
      <w:r w:rsidR="003F3E21">
        <w:t>million</w:t>
      </w:r>
      <w:r w:rsidRPr="008F0ED4">
        <w:t xml:space="preserve"> over four years to support the Office of Drought Response</w:t>
      </w:r>
    </w:p>
    <w:p w14:paraId="1E0F707F" w14:textId="5EB9B6AD" w:rsidR="005904D8" w:rsidRPr="0035164E" w:rsidRDefault="562BA290" w:rsidP="004052A2">
      <w:pPr>
        <w:pStyle w:val="Bullet1"/>
      </w:pPr>
      <w:r w:rsidRPr="562BA290">
        <w:t>$64.5 million ($254.1 million expenses over four years) for Public Works Advisory to deliver regional projects and to provide infrastructure and advisory services.</w:t>
      </w:r>
    </w:p>
    <w:p w14:paraId="4DFD0E67" w14:textId="77777777" w:rsidR="001815ED" w:rsidRDefault="001815ED">
      <w:pPr>
        <w:rPr>
          <w:rFonts w:ascii="Arial" w:eastAsia="Times New Roman" w:hAnsi="Arial" w:cs="Arial"/>
          <w:b/>
          <w:kern w:val="28"/>
          <w:sz w:val="27"/>
          <w:szCs w:val="36"/>
        </w:rPr>
      </w:pPr>
      <w:r>
        <w:rPr>
          <w:rFonts w:ascii="Arial" w:hAnsi="Arial" w:cs="Arial"/>
        </w:rPr>
        <w:br w:type="page"/>
      </w:r>
    </w:p>
    <w:p w14:paraId="6592DF0A" w14:textId="5998DEF5" w:rsidR="00641796" w:rsidRDefault="00641796" w:rsidP="003D52C5">
      <w:pPr>
        <w:pStyle w:val="Heading3"/>
        <w:spacing w:before="240" w:after="100"/>
        <w:rPr>
          <w:rFonts w:ascii="Arial" w:hAnsi="Arial" w:cs="Arial"/>
        </w:rPr>
      </w:pPr>
      <w:r w:rsidRPr="00DC6435">
        <w:rPr>
          <w:rFonts w:ascii="Arial" w:hAnsi="Arial" w:cs="Arial"/>
        </w:rPr>
        <w:lastRenderedPageBreak/>
        <w:t xml:space="preserve">Key performance insights </w:t>
      </w:r>
    </w:p>
    <w:p w14:paraId="773A3FDC" w14:textId="37442C48" w:rsidR="00034E8E" w:rsidRPr="00851A0D" w:rsidRDefault="00034E8E" w:rsidP="004052A2">
      <w:pPr>
        <w:pStyle w:val="BodyText"/>
      </w:pPr>
      <w:bookmarkStart w:id="12" w:name="OLE_LINK1"/>
      <w:bookmarkStart w:id="13" w:name="OLE_LINK2"/>
      <w:bookmarkStart w:id="14" w:name="_Hlk53136624"/>
      <w:r w:rsidRPr="001E24D5">
        <w:t xml:space="preserve">This section provides analysis and insights on key Outcome Indicators for this State Outcome. </w:t>
      </w:r>
    </w:p>
    <w:bookmarkEnd w:id="12"/>
    <w:bookmarkEnd w:id="13"/>
    <w:p w14:paraId="74EC5CA5" w14:textId="77777777" w:rsidR="00783E14" w:rsidRDefault="00783E14" w:rsidP="00415F0B">
      <w:pPr>
        <w:pStyle w:val="Heading4"/>
      </w:pPr>
      <w:r w:rsidRPr="0035164E">
        <w:t>Percentage growth in employment in regional N</w:t>
      </w:r>
      <w:r>
        <w:t xml:space="preserve">ew </w:t>
      </w:r>
      <w:r w:rsidRPr="0035164E">
        <w:t>S</w:t>
      </w:r>
      <w:r>
        <w:t xml:space="preserve">outh </w:t>
      </w:r>
      <w:r w:rsidRPr="0035164E">
        <w:t>W</w:t>
      </w:r>
      <w:r>
        <w:t>ales</w:t>
      </w:r>
      <w:r w:rsidRPr="0035164E">
        <w:t xml:space="preserve"> over four years</w:t>
      </w:r>
    </w:p>
    <w:p w14:paraId="4C8DF39F" w14:textId="77777777" w:rsidR="00034E8E" w:rsidRDefault="562BA290" w:rsidP="004052A2">
      <w:pPr>
        <w:pStyle w:val="BodyText"/>
      </w:pPr>
      <w:r w:rsidRPr="562BA290">
        <w:t xml:space="preserve">This indicator tracks the economic change and growth in the regional New South Wales economy and its subsequent impact on employment. The target of 1.1 per cent growth each year equates to 50,000 jobs over the next four years. </w:t>
      </w:r>
    </w:p>
    <w:p w14:paraId="39E95271" w14:textId="5A7BDB9F" w:rsidR="006C12DE" w:rsidRPr="0035164E" w:rsidRDefault="00034E8E" w:rsidP="004052A2">
      <w:pPr>
        <w:pStyle w:val="BodyText"/>
      </w:pPr>
      <w:r>
        <w:t xml:space="preserve">Performance against this indicator is challenging as the </w:t>
      </w:r>
      <w:r w:rsidR="00783E14">
        <w:t>COV</w:t>
      </w:r>
      <w:r w:rsidR="000E60B8">
        <w:t>I</w:t>
      </w:r>
      <w:r w:rsidR="00783E14">
        <w:t xml:space="preserve">D-19 </w:t>
      </w:r>
      <w:r>
        <w:t xml:space="preserve">restrictions </w:t>
      </w:r>
      <w:r w:rsidR="562BA290" w:rsidRPr="562BA290">
        <w:t>have had a major impact on employment across Australia since March 2020</w:t>
      </w:r>
      <w:r>
        <w:t xml:space="preserve">. </w:t>
      </w:r>
      <w:r w:rsidR="562BA290" w:rsidRPr="562BA290">
        <w:t xml:space="preserve"> </w:t>
      </w:r>
    </w:p>
    <w:p w14:paraId="1EE05F6C" w14:textId="7B9C2F51" w:rsidR="002076F0" w:rsidRPr="00CE104C" w:rsidRDefault="002076F0" w:rsidP="00415F0B">
      <w:pPr>
        <w:pStyle w:val="Chart4X"/>
        <w:rPr>
          <w:lang w:eastAsia="en-AU"/>
        </w:rPr>
      </w:pPr>
      <w:r w:rsidRPr="00CE104C">
        <w:rPr>
          <w:lang w:eastAsia="en-AU"/>
        </w:rPr>
        <w:t xml:space="preserve"> Percentage growth in employment in regional NSW over four years</w:t>
      </w:r>
    </w:p>
    <w:p w14:paraId="2685B780" w14:textId="07657843" w:rsidR="00F840AC" w:rsidRPr="0035164E" w:rsidRDefault="00C86487" w:rsidP="00C763D1">
      <w:pPr>
        <w:autoSpaceDE w:val="0"/>
        <w:autoSpaceDN w:val="0"/>
        <w:adjustRightInd w:val="0"/>
        <w:spacing w:after="0" w:line="240" w:lineRule="auto"/>
        <w:jc w:val="center"/>
        <w:rPr>
          <w:rFonts w:ascii="Arial" w:eastAsia="Times New Roman" w:hAnsi="Arial" w:cs="Arial"/>
          <w:sz w:val="23"/>
          <w:szCs w:val="23"/>
        </w:rPr>
      </w:pPr>
      <w:r>
        <w:rPr>
          <w:noProof/>
          <w:lang w:eastAsia="en-AU"/>
        </w:rPr>
        <w:drawing>
          <wp:inline distT="0" distB="0" distL="0" distR="0" wp14:anchorId="4B028451" wp14:editId="202E18B1">
            <wp:extent cx="4794250" cy="2441575"/>
            <wp:effectExtent l="0" t="0" r="0" b="0"/>
            <wp:docPr id="32" name="Chart 32" descr="Chart 6.12:  Percentage growth in employment in regional NSW over four years">
              <a:extLst xmlns:a="http://schemas.openxmlformats.org/drawingml/2006/main">
                <a:ext uri="{FF2B5EF4-FFF2-40B4-BE49-F238E27FC236}">
                  <a16:creationId xmlns:a16="http://schemas.microsoft.com/office/drawing/2014/main" id="{6104028B-A6AF-41BC-9112-01B82DC75E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9118F9" w14:textId="185D02F0" w:rsidR="007A58E1" w:rsidRPr="00F4444C" w:rsidRDefault="008F7E15" w:rsidP="00E7560B">
      <w:pPr>
        <w:spacing w:after="0" w:line="240" w:lineRule="auto"/>
        <w:rPr>
          <w:rFonts w:ascii="Arial" w:eastAsia="Times New Roman" w:hAnsi="Arial" w:cs="Arial"/>
          <w:sz w:val="17"/>
          <w:szCs w:val="17"/>
        </w:rPr>
      </w:pPr>
      <w:r w:rsidRPr="00F4444C">
        <w:rPr>
          <w:rFonts w:ascii="Arial" w:eastAsia="Times New Roman" w:hAnsi="Arial" w:cs="Arial"/>
          <w:sz w:val="17"/>
          <w:szCs w:val="17"/>
        </w:rPr>
        <w:t xml:space="preserve">Note: </w:t>
      </w:r>
      <w:r w:rsidR="007A58E1" w:rsidRPr="00F4444C">
        <w:rPr>
          <w:rFonts w:ascii="Arial" w:eastAsia="Times New Roman" w:hAnsi="Arial" w:cs="Arial"/>
          <w:sz w:val="17"/>
          <w:szCs w:val="17"/>
        </w:rPr>
        <w:t xml:space="preserve">Forecast for 2020-21 is not yet available </w:t>
      </w:r>
      <w:proofErr w:type="gramStart"/>
      <w:r w:rsidR="007A58E1" w:rsidRPr="00F4444C">
        <w:rPr>
          <w:rFonts w:ascii="Arial" w:eastAsia="Times New Roman" w:hAnsi="Arial" w:cs="Arial"/>
          <w:sz w:val="17"/>
          <w:szCs w:val="17"/>
        </w:rPr>
        <w:t>due to the effects</w:t>
      </w:r>
      <w:proofErr w:type="gramEnd"/>
      <w:r w:rsidR="007A58E1" w:rsidRPr="00F4444C">
        <w:rPr>
          <w:rFonts w:ascii="Arial" w:eastAsia="Times New Roman" w:hAnsi="Arial" w:cs="Arial"/>
          <w:sz w:val="17"/>
          <w:szCs w:val="17"/>
        </w:rPr>
        <w:t xml:space="preserve"> of COVID-19, bushfire and drought on the ability to accurately forecast.</w:t>
      </w:r>
    </w:p>
    <w:bookmarkEnd w:id="14"/>
    <w:p w14:paraId="1382F32E" w14:textId="5724226C" w:rsidR="007B33F9" w:rsidRDefault="004C1E39" w:rsidP="003D52C5">
      <w:pPr>
        <w:pStyle w:val="Heading3"/>
        <w:spacing w:before="240" w:after="100"/>
        <w:rPr>
          <w:rFonts w:ascii="Arial" w:hAnsi="Arial" w:cs="Arial"/>
        </w:rPr>
      </w:pPr>
      <w:r>
        <w:rPr>
          <w:rFonts w:ascii="Arial" w:hAnsi="Arial" w:cs="Arial"/>
        </w:rPr>
        <w:t>P</w:t>
      </w:r>
      <w:r w:rsidR="007B33F9">
        <w:rPr>
          <w:rFonts w:ascii="Arial" w:hAnsi="Arial" w:cs="Arial"/>
        </w:rPr>
        <w:t xml:space="preserve">erformance indicators for this </w:t>
      </w:r>
      <w:r w:rsidR="00EB782F">
        <w:rPr>
          <w:rFonts w:ascii="Arial" w:hAnsi="Arial" w:cs="Arial"/>
        </w:rPr>
        <w:t>O</w:t>
      </w:r>
      <w:r w:rsidR="007B33F9">
        <w:rPr>
          <w:rFonts w:ascii="Arial" w:hAnsi="Arial" w:cs="Arial"/>
        </w:rPr>
        <w:t>utcome</w:t>
      </w:r>
    </w:p>
    <w:tbl>
      <w:tblPr>
        <w:tblW w:w="9639" w:type="dxa"/>
        <w:tblLook w:val="04A0" w:firstRow="1" w:lastRow="0" w:firstColumn="1" w:lastColumn="0" w:noHBand="0" w:noVBand="1"/>
        <w:tblCaption w:val="Performance indicators for this Outcome"/>
      </w:tblPr>
      <w:tblGrid>
        <w:gridCol w:w="6520"/>
        <w:gridCol w:w="737"/>
        <w:gridCol w:w="1191"/>
        <w:gridCol w:w="1191"/>
      </w:tblGrid>
      <w:tr w:rsidR="00683A9C" w:rsidRPr="00927525" w14:paraId="012C97C0" w14:textId="77777777" w:rsidTr="00927525">
        <w:trPr>
          <w:trHeight w:val="283"/>
        </w:trPr>
        <w:tc>
          <w:tcPr>
            <w:tcW w:w="6520" w:type="dxa"/>
            <w:vMerge w:val="restart"/>
            <w:tcBorders>
              <w:top w:val="nil"/>
              <w:left w:val="nil"/>
              <w:bottom w:val="nil"/>
              <w:right w:val="nil"/>
            </w:tcBorders>
            <w:shd w:val="clear" w:color="auto" w:fill="00426F"/>
            <w:noWrap/>
            <w:vAlign w:val="center"/>
            <w:hideMark/>
          </w:tcPr>
          <w:p w14:paraId="28B647FE" w14:textId="0C6B5840" w:rsidR="00683A9C" w:rsidRPr="00927525" w:rsidRDefault="00683A9C" w:rsidP="00637565">
            <w:pPr>
              <w:spacing w:after="0" w:line="240" w:lineRule="auto"/>
              <w:rPr>
                <w:rFonts w:ascii="Arial" w:eastAsia="Times New Roman" w:hAnsi="Arial" w:cs="Arial"/>
                <w:b/>
                <w:bCs/>
                <w:color w:val="FFFFFF"/>
                <w:sz w:val="18"/>
                <w:szCs w:val="18"/>
                <w:lang w:eastAsia="en-AU"/>
              </w:rPr>
            </w:pPr>
            <w:r w:rsidRPr="00927525">
              <w:rPr>
                <w:rFonts w:ascii="Arial" w:eastAsia="Times New Roman" w:hAnsi="Arial" w:cs="Arial"/>
                <w:b/>
                <w:bCs/>
                <w:color w:val="FFFFFF"/>
                <w:sz w:val="18"/>
                <w:szCs w:val="18"/>
                <w:lang w:eastAsia="en-AU"/>
              </w:rPr>
              <w:t>Outcome Indicators</w:t>
            </w:r>
          </w:p>
        </w:tc>
        <w:tc>
          <w:tcPr>
            <w:tcW w:w="737" w:type="dxa"/>
            <w:vMerge w:val="restart"/>
            <w:tcBorders>
              <w:top w:val="nil"/>
              <w:left w:val="nil"/>
              <w:bottom w:val="nil"/>
              <w:right w:val="nil"/>
            </w:tcBorders>
            <w:shd w:val="clear" w:color="auto" w:fill="00426F"/>
            <w:noWrap/>
            <w:vAlign w:val="center"/>
            <w:hideMark/>
          </w:tcPr>
          <w:p w14:paraId="73F495A4" w14:textId="77777777" w:rsidR="00683A9C" w:rsidRPr="00927525" w:rsidRDefault="00683A9C" w:rsidP="00683A9C">
            <w:pPr>
              <w:spacing w:after="0" w:line="240" w:lineRule="auto"/>
              <w:jc w:val="center"/>
              <w:rPr>
                <w:rFonts w:ascii="Arial" w:eastAsia="Times New Roman" w:hAnsi="Arial" w:cs="Arial"/>
                <w:b/>
                <w:bCs/>
                <w:color w:val="FFFFFF"/>
                <w:sz w:val="18"/>
                <w:szCs w:val="18"/>
                <w:lang w:eastAsia="en-AU"/>
              </w:rPr>
            </w:pPr>
            <w:r w:rsidRPr="00927525">
              <w:rPr>
                <w:rFonts w:ascii="Arial" w:eastAsia="Times New Roman" w:hAnsi="Arial" w:cs="Arial"/>
                <w:b/>
                <w:bCs/>
                <w:color w:val="FFFFFF"/>
                <w:sz w:val="18"/>
                <w:szCs w:val="18"/>
                <w:lang w:eastAsia="en-AU"/>
              </w:rPr>
              <w:t>Units</w:t>
            </w:r>
          </w:p>
        </w:tc>
        <w:tc>
          <w:tcPr>
            <w:tcW w:w="1191" w:type="dxa"/>
            <w:tcBorders>
              <w:top w:val="nil"/>
              <w:left w:val="nil"/>
              <w:bottom w:val="nil"/>
              <w:right w:val="nil"/>
            </w:tcBorders>
            <w:shd w:val="clear" w:color="auto" w:fill="00426F"/>
            <w:noWrap/>
            <w:vAlign w:val="bottom"/>
            <w:hideMark/>
          </w:tcPr>
          <w:p w14:paraId="091DA187" w14:textId="77777777" w:rsidR="00683A9C" w:rsidRPr="00927525" w:rsidRDefault="00683A9C" w:rsidP="00927525">
            <w:pPr>
              <w:spacing w:after="0" w:line="240" w:lineRule="auto"/>
              <w:jc w:val="center"/>
              <w:rPr>
                <w:rFonts w:ascii="Arial" w:eastAsia="Times New Roman" w:hAnsi="Arial" w:cs="Arial"/>
                <w:b/>
                <w:bCs/>
                <w:color w:val="FFFFFF"/>
                <w:sz w:val="18"/>
                <w:szCs w:val="18"/>
                <w:lang w:eastAsia="en-AU"/>
              </w:rPr>
            </w:pPr>
            <w:r w:rsidRPr="00927525">
              <w:rPr>
                <w:rFonts w:ascii="Arial" w:eastAsia="Times New Roman" w:hAnsi="Arial" w:cs="Arial"/>
                <w:b/>
                <w:bCs/>
                <w:color w:val="FFFFFF"/>
                <w:sz w:val="18"/>
                <w:szCs w:val="18"/>
                <w:lang w:eastAsia="en-AU"/>
              </w:rPr>
              <w:t>2019-20</w:t>
            </w:r>
          </w:p>
        </w:tc>
        <w:tc>
          <w:tcPr>
            <w:tcW w:w="1191" w:type="dxa"/>
            <w:tcBorders>
              <w:top w:val="nil"/>
              <w:left w:val="nil"/>
              <w:bottom w:val="nil"/>
              <w:right w:val="nil"/>
            </w:tcBorders>
            <w:shd w:val="clear" w:color="auto" w:fill="00426F"/>
            <w:noWrap/>
            <w:vAlign w:val="bottom"/>
            <w:hideMark/>
          </w:tcPr>
          <w:p w14:paraId="50CA6FB7" w14:textId="77777777" w:rsidR="00683A9C" w:rsidRPr="00927525" w:rsidRDefault="00683A9C" w:rsidP="00927525">
            <w:pPr>
              <w:spacing w:after="0" w:line="240" w:lineRule="auto"/>
              <w:jc w:val="center"/>
              <w:rPr>
                <w:rFonts w:ascii="Arial" w:eastAsia="Times New Roman" w:hAnsi="Arial" w:cs="Arial"/>
                <w:b/>
                <w:bCs/>
                <w:color w:val="FFFFFF"/>
                <w:sz w:val="18"/>
                <w:szCs w:val="18"/>
                <w:lang w:eastAsia="en-AU"/>
              </w:rPr>
            </w:pPr>
            <w:r w:rsidRPr="00927525">
              <w:rPr>
                <w:rFonts w:ascii="Arial" w:eastAsia="Times New Roman" w:hAnsi="Arial" w:cs="Arial"/>
                <w:b/>
                <w:bCs/>
                <w:color w:val="FFFFFF"/>
                <w:sz w:val="18"/>
                <w:szCs w:val="18"/>
                <w:lang w:eastAsia="en-AU"/>
              </w:rPr>
              <w:t>2020-21</w:t>
            </w:r>
          </w:p>
        </w:tc>
      </w:tr>
      <w:tr w:rsidR="00683A9C" w:rsidRPr="00927525" w14:paraId="6ACF1F19" w14:textId="77777777" w:rsidTr="00927525">
        <w:trPr>
          <w:trHeight w:val="283"/>
        </w:trPr>
        <w:tc>
          <w:tcPr>
            <w:tcW w:w="6520" w:type="dxa"/>
            <w:vMerge/>
            <w:shd w:val="clear" w:color="auto" w:fill="00426F"/>
            <w:vAlign w:val="center"/>
            <w:hideMark/>
          </w:tcPr>
          <w:p w14:paraId="26C6532E" w14:textId="77777777" w:rsidR="00683A9C" w:rsidRPr="00927525" w:rsidRDefault="00683A9C" w:rsidP="00683A9C">
            <w:pPr>
              <w:spacing w:after="0" w:line="240" w:lineRule="auto"/>
              <w:rPr>
                <w:rFonts w:ascii="Arial" w:eastAsia="Times New Roman" w:hAnsi="Arial" w:cs="Arial"/>
                <w:b/>
                <w:bCs/>
                <w:color w:val="FFFFFF"/>
                <w:sz w:val="18"/>
                <w:szCs w:val="18"/>
                <w:lang w:eastAsia="en-AU"/>
              </w:rPr>
            </w:pPr>
          </w:p>
        </w:tc>
        <w:tc>
          <w:tcPr>
            <w:tcW w:w="737" w:type="dxa"/>
            <w:vMerge/>
            <w:shd w:val="clear" w:color="auto" w:fill="00426F"/>
            <w:vAlign w:val="center"/>
            <w:hideMark/>
          </w:tcPr>
          <w:p w14:paraId="2171C88E" w14:textId="77777777" w:rsidR="00683A9C" w:rsidRPr="00927525" w:rsidRDefault="00683A9C" w:rsidP="00683A9C">
            <w:pPr>
              <w:spacing w:after="0" w:line="240" w:lineRule="auto"/>
              <w:rPr>
                <w:rFonts w:ascii="Arial" w:eastAsia="Times New Roman" w:hAnsi="Arial" w:cs="Arial"/>
                <w:b/>
                <w:bCs/>
                <w:color w:val="FFFFFF"/>
                <w:sz w:val="18"/>
                <w:szCs w:val="18"/>
                <w:lang w:eastAsia="en-AU"/>
              </w:rPr>
            </w:pPr>
          </w:p>
        </w:tc>
        <w:tc>
          <w:tcPr>
            <w:tcW w:w="1191" w:type="dxa"/>
            <w:tcBorders>
              <w:top w:val="nil"/>
              <w:left w:val="nil"/>
              <w:bottom w:val="nil"/>
              <w:right w:val="nil"/>
            </w:tcBorders>
            <w:shd w:val="clear" w:color="auto" w:fill="00426F"/>
            <w:noWrap/>
            <w:hideMark/>
          </w:tcPr>
          <w:p w14:paraId="2527C172" w14:textId="77777777" w:rsidR="00683A9C" w:rsidRPr="00927525" w:rsidRDefault="00683A9C" w:rsidP="00927525">
            <w:pPr>
              <w:spacing w:after="0" w:line="240" w:lineRule="auto"/>
              <w:jc w:val="center"/>
              <w:rPr>
                <w:rFonts w:ascii="Arial" w:eastAsia="Times New Roman" w:hAnsi="Arial" w:cs="Arial"/>
                <w:b/>
                <w:bCs/>
                <w:color w:val="FFFFFF"/>
                <w:sz w:val="18"/>
                <w:szCs w:val="18"/>
                <w:lang w:eastAsia="en-AU"/>
              </w:rPr>
            </w:pPr>
            <w:r w:rsidRPr="00927525">
              <w:rPr>
                <w:rFonts w:ascii="Arial" w:eastAsia="Times New Roman" w:hAnsi="Arial" w:cs="Arial"/>
                <w:b/>
                <w:bCs/>
                <w:color w:val="FFFFFF"/>
                <w:sz w:val="18"/>
                <w:szCs w:val="18"/>
                <w:lang w:eastAsia="en-AU"/>
              </w:rPr>
              <w:t>Actual</w:t>
            </w:r>
          </w:p>
        </w:tc>
        <w:tc>
          <w:tcPr>
            <w:tcW w:w="1191" w:type="dxa"/>
            <w:tcBorders>
              <w:top w:val="nil"/>
              <w:left w:val="nil"/>
              <w:bottom w:val="nil"/>
              <w:right w:val="nil"/>
            </w:tcBorders>
            <w:shd w:val="clear" w:color="auto" w:fill="00426F"/>
            <w:noWrap/>
            <w:hideMark/>
          </w:tcPr>
          <w:p w14:paraId="01350A0C" w14:textId="77777777" w:rsidR="00683A9C" w:rsidRPr="00927525" w:rsidRDefault="00683A9C" w:rsidP="00927525">
            <w:pPr>
              <w:spacing w:after="0" w:line="240" w:lineRule="auto"/>
              <w:jc w:val="center"/>
              <w:rPr>
                <w:rFonts w:ascii="Arial" w:eastAsia="Times New Roman" w:hAnsi="Arial" w:cs="Arial"/>
                <w:b/>
                <w:bCs/>
                <w:color w:val="FFFFFF"/>
                <w:sz w:val="18"/>
                <w:szCs w:val="18"/>
                <w:lang w:eastAsia="en-AU"/>
              </w:rPr>
            </w:pPr>
            <w:r w:rsidRPr="00927525">
              <w:rPr>
                <w:rFonts w:ascii="Arial" w:eastAsia="Times New Roman" w:hAnsi="Arial" w:cs="Arial"/>
                <w:b/>
                <w:bCs/>
                <w:color w:val="FFFFFF"/>
                <w:sz w:val="18"/>
                <w:szCs w:val="18"/>
                <w:lang w:eastAsia="en-AU"/>
              </w:rPr>
              <w:t>Forecast</w:t>
            </w:r>
          </w:p>
        </w:tc>
      </w:tr>
      <w:tr w:rsidR="00683A9C" w:rsidRPr="00683A9C" w14:paraId="1C654D71" w14:textId="77777777" w:rsidTr="00927525">
        <w:trPr>
          <w:trHeight w:val="45"/>
        </w:trPr>
        <w:tc>
          <w:tcPr>
            <w:tcW w:w="6520" w:type="dxa"/>
            <w:tcBorders>
              <w:top w:val="nil"/>
              <w:left w:val="nil"/>
              <w:bottom w:val="nil"/>
              <w:right w:val="nil"/>
            </w:tcBorders>
            <w:shd w:val="clear" w:color="auto" w:fill="auto"/>
            <w:noWrap/>
            <w:vAlign w:val="center"/>
            <w:hideMark/>
          </w:tcPr>
          <w:p w14:paraId="26E8F523" w14:textId="77777777" w:rsidR="00683A9C" w:rsidRPr="00683A9C" w:rsidRDefault="00683A9C" w:rsidP="00683A9C">
            <w:pPr>
              <w:spacing w:after="0" w:line="240" w:lineRule="auto"/>
              <w:jc w:val="center"/>
              <w:rPr>
                <w:rFonts w:ascii="Arial" w:eastAsia="Times New Roman" w:hAnsi="Arial" w:cs="Arial"/>
                <w:b/>
                <w:bCs/>
                <w:color w:val="FFFFFF"/>
                <w:sz w:val="16"/>
                <w:szCs w:val="16"/>
                <w:lang w:eastAsia="en-AU"/>
              </w:rPr>
            </w:pPr>
          </w:p>
        </w:tc>
        <w:tc>
          <w:tcPr>
            <w:tcW w:w="737" w:type="dxa"/>
            <w:tcBorders>
              <w:top w:val="nil"/>
              <w:left w:val="nil"/>
              <w:bottom w:val="nil"/>
              <w:right w:val="nil"/>
            </w:tcBorders>
            <w:shd w:val="clear" w:color="auto" w:fill="auto"/>
            <w:noWrap/>
            <w:vAlign w:val="center"/>
            <w:hideMark/>
          </w:tcPr>
          <w:p w14:paraId="52110E77" w14:textId="77777777" w:rsidR="00683A9C" w:rsidRPr="00683A9C" w:rsidRDefault="00683A9C" w:rsidP="00683A9C">
            <w:pPr>
              <w:spacing w:after="0" w:line="240" w:lineRule="auto"/>
              <w:ind w:firstLineChars="100" w:firstLine="200"/>
              <w:rPr>
                <w:rFonts w:ascii="Times New Roman" w:eastAsia="Times New Roman" w:hAnsi="Times New Roman" w:cs="Times New Roman"/>
                <w:szCs w:val="20"/>
                <w:lang w:eastAsia="en-AU"/>
              </w:rPr>
            </w:pPr>
          </w:p>
        </w:tc>
        <w:tc>
          <w:tcPr>
            <w:tcW w:w="1191" w:type="dxa"/>
            <w:tcBorders>
              <w:top w:val="nil"/>
              <w:left w:val="nil"/>
              <w:bottom w:val="nil"/>
              <w:right w:val="nil"/>
            </w:tcBorders>
            <w:shd w:val="clear" w:color="auto" w:fill="auto"/>
            <w:noWrap/>
            <w:vAlign w:val="center"/>
            <w:hideMark/>
          </w:tcPr>
          <w:p w14:paraId="7364C165" w14:textId="77777777" w:rsidR="00683A9C" w:rsidRPr="00683A9C" w:rsidRDefault="00683A9C" w:rsidP="00904865">
            <w:pPr>
              <w:spacing w:after="0" w:line="240" w:lineRule="auto"/>
              <w:ind w:right="170"/>
              <w:jc w:val="center"/>
              <w:rPr>
                <w:rFonts w:ascii="Times New Roman" w:eastAsia="Times New Roman" w:hAnsi="Times New Roman" w:cs="Times New Roman"/>
                <w:szCs w:val="20"/>
                <w:lang w:eastAsia="en-AU"/>
              </w:rPr>
            </w:pPr>
          </w:p>
        </w:tc>
        <w:tc>
          <w:tcPr>
            <w:tcW w:w="1191" w:type="dxa"/>
            <w:tcBorders>
              <w:top w:val="nil"/>
              <w:left w:val="nil"/>
              <w:bottom w:val="nil"/>
              <w:right w:val="nil"/>
            </w:tcBorders>
            <w:shd w:val="clear" w:color="auto" w:fill="auto"/>
            <w:noWrap/>
            <w:vAlign w:val="center"/>
            <w:hideMark/>
          </w:tcPr>
          <w:p w14:paraId="7B5C3B8B" w14:textId="77777777" w:rsidR="00683A9C" w:rsidRPr="00683A9C" w:rsidRDefault="00683A9C" w:rsidP="00904865">
            <w:pPr>
              <w:spacing w:after="0" w:line="240" w:lineRule="auto"/>
              <w:ind w:right="170"/>
              <w:jc w:val="center"/>
              <w:rPr>
                <w:rFonts w:ascii="Times New Roman" w:eastAsia="Times New Roman" w:hAnsi="Times New Roman" w:cs="Times New Roman"/>
                <w:szCs w:val="20"/>
                <w:lang w:eastAsia="en-AU"/>
              </w:rPr>
            </w:pPr>
          </w:p>
        </w:tc>
      </w:tr>
      <w:tr w:rsidR="00683A9C" w:rsidRPr="00683A9C" w14:paraId="460BE6ED" w14:textId="77777777" w:rsidTr="00927525">
        <w:trPr>
          <w:trHeight w:val="225"/>
        </w:trPr>
        <w:tc>
          <w:tcPr>
            <w:tcW w:w="6520" w:type="dxa"/>
            <w:tcBorders>
              <w:top w:val="nil"/>
              <w:left w:val="nil"/>
              <w:bottom w:val="nil"/>
              <w:right w:val="nil"/>
            </w:tcBorders>
            <w:shd w:val="clear" w:color="auto" w:fill="auto"/>
            <w:vAlign w:val="bottom"/>
            <w:hideMark/>
          </w:tcPr>
          <w:p w14:paraId="7558AAF5" w14:textId="77777777" w:rsidR="00683A9C" w:rsidRPr="00683A9C" w:rsidRDefault="00683A9C" w:rsidP="00927525">
            <w:pPr>
              <w:spacing w:after="0" w:line="240" w:lineRule="auto"/>
              <w:rPr>
                <w:rFonts w:ascii="Arial" w:eastAsia="Times New Roman" w:hAnsi="Arial" w:cs="Arial"/>
                <w:color w:val="000000"/>
                <w:sz w:val="16"/>
                <w:szCs w:val="16"/>
                <w:lang w:eastAsia="en-AU"/>
              </w:rPr>
            </w:pPr>
            <w:r w:rsidRPr="00683A9C">
              <w:rPr>
                <w:rFonts w:ascii="Arial" w:eastAsia="Times New Roman" w:hAnsi="Arial" w:cs="Arial"/>
                <w:color w:val="000000"/>
                <w:sz w:val="16"/>
                <w:szCs w:val="16"/>
                <w:lang w:eastAsia="en-AU"/>
              </w:rPr>
              <w:t>Percentage growth in employment in regional NSW over four years</w:t>
            </w:r>
          </w:p>
        </w:tc>
        <w:tc>
          <w:tcPr>
            <w:tcW w:w="737" w:type="dxa"/>
            <w:tcBorders>
              <w:top w:val="nil"/>
              <w:left w:val="nil"/>
              <w:bottom w:val="nil"/>
              <w:right w:val="nil"/>
            </w:tcBorders>
            <w:shd w:val="clear" w:color="auto" w:fill="auto"/>
            <w:noWrap/>
            <w:vAlign w:val="bottom"/>
            <w:hideMark/>
          </w:tcPr>
          <w:p w14:paraId="65A38112" w14:textId="77777777" w:rsidR="00683A9C" w:rsidRPr="00683A9C" w:rsidRDefault="00683A9C" w:rsidP="00927525">
            <w:pPr>
              <w:spacing w:after="0" w:line="240" w:lineRule="auto"/>
              <w:jc w:val="center"/>
              <w:rPr>
                <w:rFonts w:ascii="Arial" w:eastAsia="Times New Roman" w:hAnsi="Arial" w:cs="Arial"/>
                <w:color w:val="000000"/>
                <w:sz w:val="16"/>
                <w:szCs w:val="16"/>
                <w:lang w:eastAsia="en-AU"/>
              </w:rPr>
            </w:pPr>
            <w:r w:rsidRPr="00683A9C">
              <w:rPr>
                <w:rFonts w:ascii="Arial" w:eastAsia="Times New Roman" w:hAnsi="Arial" w:cs="Arial"/>
                <w:color w:val="000000"/>
                <w:sz w:val="16"/>
                <w:szCs w:val="16"/>
                <w:lang w:eastAsia="en-AU"/>
              </w:rPr>
              <w:t>%</w:t>
            </w:r>
          </w:p>
        </w:tc>
        <w:tc>
          <w:tcPr>
            <w:tcW w:w="1191" w:type="dxa"/>
            <w:tcBorders>
              <w:top w:val="nil"/>
              <w:left w:val="nil"/>
              <w:bottom w:val="nil"/>
              <w:right w:val="nil"/>
            </w:tcBorders>
            <w:shd w:val="clear" w:color="auto" w:fill="auto"/>
            <w:noWrap/>
            <w:vAlign w:val="bottom"/>
            <w:hideMark/>
          </w:tcPr>
          <w:p w14:paraId="4C9B8A59" w14:textId="77777777" w:rsidR="00683A9C" w:rsidRPr="00683A9C" w:rsidRDefault="00683A9C" w:rsidP="00904865">
            <w:pPr>
              <w:spacing w:after="0" w:line="240" w:lineRule="auto"/>
              <w:ind w:right="170"/>
              <w:jc w:val="right"/>
              <w:rPr>
                <w:rFonts w:ascii="Arial" w:eastAsia="Times New Roman" w:hAnsi="Arial" w:cs="Arial"/>
                <w:color w:val="000000"/>
                <w:sz w:val="16"/>
                <w:szCs w:val="16"/>
                <w:lang w:eastAsia="en-AU"/>
              </w:rPr>
            </w:pPr>
            <w:r w:rsidRPr="00683A9C">
              <w:rPr>
                <w:rFonts w:ascii="Arial" w:eastAsia="Times New Roman" w:hAnsi="Arial" w:cs="Arial"/>
                <w:color w:val="000000"/>
                <w:sz w:val="16"/>
                <w:szCs w:val="16"/>
                <w:lang w:eastAsia="en-AU"/>
              </w:rPr>
              <w:t>0.1</w:t>
            </w:r>
          </w:p>
        </w:tc>
        <w:tc>
          <w:tcPr>
            <w:tcW w:w="1191" w:type="dxa"/>
            <w:tcBorders>
              <w:top w:val="nil"/>
              <w:left w:val="nil"/>
              <w:bottom w:val="nil"/>
              <w:right w:val="nil"/>
            </w:tcBorders>
            <w:shd w:val="clear" w:color="auto" w:fill="auto"/>
            <w:noWrap/>
            <w:vAlign w:val="bottom"/>
            <w:hideMark/>
          </w:tcPr>
          <w:p w14:paraId="06174703" w14:textId="77777777" w:rsidR="00683A9C" w:rsidRPr="00683A9C" w:rsidRDefault="00683A9C" w:rsidP="00904865">
            <w:pPr>
              <w:spacing w:after="0" w:line="240" w:lineRule="auto"/>
              <w:ind w:right="170"/>
              <w:jc w:val="right"/>
              <w:rPr>
                <w:rFonts w:ascii="Arial" w:eastAsia="Times New Roman" w:hAnsi="Arial" w:cs="Arial"/>
                <w:color w:val="000000"/>
                <w:sz w:val="16"/>
                <w:szCs w:val="16"/>
                <w:lang w:eastAsia="en-AU"/>
              </w:rPr>
            </w:pPr>
            <w:proofErr w:type="spellStart"/>
            <w:r w:rsidRPr="00683A9C">
              <w:rPr>
                <w:rFonts w:ascii="Arial" w:eastAsia="Times New Roman" w:hAnsi="Arial" w:cs="Arial"/>
                <w:color w:val="000000"/>
                <w:sz w:val="16"/>
                <w:szCs w:val="16"/>
                <w:lang w:eastAsia="en-AU"/>
              </w:rPr>
              <w:t>n.a.</w:t>
            </w:r>
            <w:proofErr w:type="spellEnd"/>
            <w:r w:rsidRPr="00683A9C">
              <w:rPr>
                <w:rFonts w:ascii="Arial" w:eastAsia="Times New Roman" w:hAnsi="Arial" w:cs="Arial"/>
                <w:color w:val="000000"/>
                <w:sz w:val="16"/>
                <w:szCs w:val="16"/>
                <w:vertAlign w:val="superscript"/>
                <w:lang w:eastAsia="en-AU"/>
              </w:rPr>
              <w:t>(a)</w:t>
            </w:r>
          </w:p>
        </w:tc>
      </w:tr>
      <w:tr w:rsidR="00683A9C" w:rsidRPr="00683A9C" w14:paraId="20FF7738" w14:textId="77777777" w:rsidTr="00927525">
        <w:trPr>
          <w:trHeight w:val="225"/>
        </w:trPr>
        <w:tc>
          <w:tcPr>
            <w:tcW w:w="6520" w:type="dxa"/>
            <w:tcBorders>
              <w:top w:val="nil"/>
              <w:left w:val="nil"/>
              <w:bottom w:val="nil"/>
              <w:right w:val="nil"/>
            </w:tcBorders>
            <w:shd w:val="clear" w:color="auto" w:fill="auto"/>
            <w:noWrap/>
            <w:vAlign w:val="bottom"/>
            <w:hideMark/>
          </w:tcPr>
          <w:p w14:paraId="7E15D978" w14:textId="77777777" w:rsidR="00683A9C" w:rsidRPr="00683A9C" w:rsidRDefault="00683A9C" w:rsidP="00683A9C">
            <w:pPr>
              <w:spacing w:after="0" w:line="240" w:lineRule="auto"/>
              <w:jc w:val="right"/>
              <w:rPr>
                <w:rFonts w:ascii="Arial" w:eastAsia="Times New Roman" w:hAnsi="Arial" w:cs="Arial"/>
                <w:color w:val="000000"/>
                <w:sz w:val="16"/>
                <w:szCs w:val="16"/>
                <w:lang w:eastAsia="en-AU"/>
              </w:rPr>
            </w:pPr>
          </w:p>
        </w:tc>
        <w:tc>
          <w:tcPr>
            <w:tcW w:w="737" w:type="dxa"/>
            <w:tcBorders>
              <w:top w:val="nil"/>
              <w:left w:val="nil"/>
              <w:bottom w:val="nil"/>
              <w:right w:val="nil"/>
            </w:tcBorders>
            <w:shd w:val="clear" w:color="auto" w:fill="auto"/>
            <w:noWrap/>
            <w:vAlign w:val="bottom"/>
            <w:hideMark/>
          </w:tcPr>
          <w:p w14:paraId="2744D239" w14:textId="77777777" w:rsidR="00683A9C" w:rsidRPr="00683A9C" w:rsidRDefault="00683A9C" w:rsidP="00683A9C">
            <w:pPr>
              <w:spacing w:after="0" w:line="240" w:lineRule="auto"/>
              <w:rPr>
                <w:rFonts w:ascii="Times New Roman" w:eastAsia="Times New Roman" w:hAnsi="Times New Roman" w:cs="Times New Roman"/>
                <w:szCs w:val="20"/>
                <w:lang w:eastAsia="en-AU"/>
              </w:rPr>
            </w:pPr>
          </w:p>
        </w:tc>
        <w:tc>
          <w:tcPr>
            <w:tcW w:w="1191" w:type="dxa"/>
            <w:tcBorders>
              <w:top w:val="nil"/>
              <w:left w:val="nil"/>
              <w:bottom w:val="nil"/>
              <w:right w:val="nil"/>
            </w:tcBorders>
            <w:shd w:val="clear" w:color="auto" w:fill="auto"/>
            <w:noWrap/>
            <w:vAlign w:val="bottom"/>
            <w:hideMark/>
          </w:tcPr>
          <w:p w14:paraId="1641917A" w14:textId="77777777" w:rsidR="00683A9C" w:rsidRPr="00683A9C" w:rsidRDefault="00683A9C" w:rsidP="00904865">
            <w:pPr>
              <w:spacing w:after="0" w:line="240" w:lineRule="auto"/>
              <w:ind w:right="170"/>
              <w:rPr>
                <w:rFonts w:ascii="Times New Roman" w:eastAsia="Times New Roman" w:hAnsi="Times New Roman" w:cs="Times New Roman"/>
                <w:szCs w:val="20"/>
                <w:lang w:eastAsia="en-AU"/>
              </w:rPr>
            </w:pPr>
          </w:p>
        </w:tc>
        <w:tc>
          <w:tcPr>
            <w:tcW w:w="1191" w:type="dxa"/>
            <w:tcBorders>
              <w:top w:val="nil"/>
              <w:left w:val="nil"/>
              <w:bottom w:val="nil"/>
              <w:right w:val="nil"/>
            </w:tcBorders>
            <w:shd w:val="clear" w:color="auto" w:fill="auto"/>
            <w:noWrap/>
            <w:vAlign w:val="bottom"/>
            <w:hideMark/>
          </w:tcPr>
          <w:p w14:paraId="6C76B4B5" w14:textId="77777777" w:rsidR="00683A9C" w:rsidRPr="00683A9C" w:rsidRDefault="00683A9C" w:rsidP="00904865">
            <w:pPr>
              <w:spacing w:after="0" w:line="240" w:lineRule="auto"/>
              <w:ind w:right="170"/>
              <w:rPr>
                <w:rFonts w:ascii="Times New Roman" w:eastAsia="Times New Roman" w:hAnsi="Times New Roman" w:cs="Times New Roman"/>
                <w:szCs w:val="20"/>
                <w:lang w:eastAsia="en-AU"/>
              </w:rPr>
            </w:pPr>
          </w:p>
        </w:tc>
      </w:tr>
    </w:tbl>
    <w:p w14:paraId="4C47AA08" w14:textId="77777777" w:rsidR="00927525" w:rsidRPr="00927525" w:rsidRDefault="00927525" w:rsidP="00927525">
      <w:pPr>
        <w:spacing w:after="0" w:line="240" w:lineRule="auto"/>
        <w:rPr>
          <w:rFonts w:ascii="Arial" w:hAnsi="Arial" w:cs="Arial"/>
          <w:sz w:val="6"/>
          <w:szCs w:val="6"/>
        </w:rPr>
      </w:pPr>
    </w:p>
    <w:p w14:paraId="6B454E44" w14:textId="52DE2BBB" w:rsidR="00927525" w:rsidRPr="00730855" w:rsidRDefault="00927525" w:rsidP="00683A9C">
      <w:pPr>
        <w:spacing w:after="0" w:line="240" w:lineRule="auto"/>
        <w:rPr>
          <w:rFonts w:ascii="Arial" w:eastAsia="Times New Roman" w:hAnsi="Arial" w:cs="Arial"/>
          <w:color w:val="000000"/>
          <w:sz w:val="16"/>
          <w:szCs w:val="16"/>
          <w:lang w:eastAsia="en-AU"/>
        </w:rPr>
      </w:pPr>
      <w:r w:rsidRPr="00730855">
        <w:rPr>
          <w:rFonts w:ascii="Arial" w:eastAsia="Times New Roman" w:hAnsi="Arial" w:cs="Arial"/>
          <w:color w:val="000000"/>
          <w:sz w:val="16"/>
          <w:szCs w:val="16"/>
          <w:lang w:eastAsia="en-AU"/>
        </w:rPr>
        <w:t>Note</w:t>
      </w:r>
    </w:p>
    <w:p w14:paraId="72F2C27E" w14:textId="2DD66398" w:rsidR="00927525" w:rsidRPr="00683A9C" w:rsidRDefault="00927525" w:rsidP="00927525">
      <w:pPr>
        <w:spacing w:after="0" w:line="240" w:lineRule="auto"/>
        <w:ind w:left="357" w:hanging="357"/>
        <w:rPr>
          <w:rFonts w:ascii="Arial" w:eastAsia="Times New Roman" w:hAnsi="Arial" w:cs="Arial"/>
          <w:color w:val="000000"/>
          <w:sz w:val="17"/>
          <w:szCs w:val="17"/>
          <w:lang w:eastAsia="en-AU"/>
        </w:rPr>
      </w:pPr>
      <w:r w:rsidRPr="00683A9C">
        <w:rPr>
          <w:rFonts w:ascii="Arial" w:eastAsia="Times New Roman" w:hAnsi="Arial" w:cs="Arial"/>
          <w:color w:val="000000"/>
          <w:sz w:val="17"/>
          <w:szCs w:val="17"/>
          <w:lang w:eastAsia="en-AU"/>
        </w:rPr>
        <w:t xml:space="preserve">(a) </w:t>
      </w:r>
      <w:r>
        <w:rPr>
          <w:rFonts w:ascii="Arial" w:eastAsia="Times New Roman" w:hAnsi="Arial" w:cs="Arial"/>
          <w:color w:val="000000"/>
          <w:sz w:val="17"/>
          <w:szCs w:val="17"/>
          <w:lang w:eastAsia="en-AU"/>
        </w:rPr>
        <w:tab/>
      </w:r>
      <w:r w:rsidRPr="00683A9C">
        <w:rPr>
          <w:rFonts w:ascii="Arial" w:eastAsia="Times New Roman" w:hAnsi="Arial" w:cs="Arial"/>
          <w:color w:val="000000"/>
          <w:sz w:val="17"/>
          <w:szCs w:val="17"/>
          <w:lang w:eastAsia="en-AU"/>
        </w:rPr>
        <w:t>Forecast for 2020-21 is not yet available</w:t>
      </w:r>
      <w:r w:rsidR="00F4444C">
        <w:rPr>
          <w:rFonts w:ascii="Arial" w:eastAsia="Times New Roman" w:hAnsi="Arial" w:cs="Arial"/>
          <w:color w:val="000000"/>
          <w:sz w:val="17"/>
          <w:szCs w:val="17"/>
          <w:lang w:eastAsia="en-AU"/>
        </w:rPr>
        <w:t>.</w:t>
      </w:r>
    </w:p>
    <w:p w14:paraId="661C4BB7" w14:textId="77777777" w:rsidR="00927525" w:rsidRPr="00A44D3C" w:rsidRDefault="00927525" w:rsidP="00683A9C">
      <w:pPr>
        <w:spacing w:after="0" w:line="240" w:lineRule="auto"/>
        <w:rPr>
          <w:rFonts w:ascii="Arial" w:eastAsia="Times New Roman" w:hAnsi="Arial" w:cs="Arial"/>
          <w:strike/>
          <w:color w:val="000000"/>
          <w:sz w:val="17"/>
          <w:szCs w:val="17"/>
          <w:lang w:eastAsia="en-AU"/>
        </w:rPr>
      </w:pPr>
    </w:p>
    <w:sectPr w:rsidR="00927525" w:rsidRPr="00A44D3C" w:rsidSect="000E15D0">
      <w:headerReference w:type="even" r:id="rId26"/>
      <w:headerReference w:type="default" r:id="rId27"/>
      <w:footerReference w:type="even" r:id="rId28"/>
      <w:footerReference w:type="default" r:id="rId29"/>
      <w:footerReference w:type="first" r:id="rId30"/>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1C17C" w14:textId="77777777" w:rsidR="005E38E9" w:rsidRDefault="005E38E9">
      <w:pPr>
        <w:spacing w:after="0" w:line="240" w:lineRule="auto"/>
      </w:pPr>
      <w:r>
        <w:separator/>
      </w:r>
    </w:p>
  </w:endnote>
  <w:endnote w:type="continuationSeparator" w:id="0">
    <w:p w14:paraId="1BA2AF60" w14:textId="77777777" w:rsidR="005E38E9" w:rsidRDefault="005E38E9">
      <w:pPr>
        <w:spacing w:after="0" w:line="240" w:lineRule="auto"/>
      </w:pPr>
      <w:r>
        <w:continuationSeparator/>
      </w:r>
    </w:p>
  </w:endnote>
  <w:endnote w:type="continuationNotice" w:id="1">
    <w:p w14:paraId="5BB5CA3D" w14:textId="77777777" w:rsidR="005E38E9" w:rsidRDefault="005E38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EA09" w14:textId="1AF3A123" w:rsidR="002D68ED" w:rsidRPr="00E61DAC" w:rsidRDefault="002D68ED" w:rsidP="003C6229">
    <w:pPr>
      <w:pStyle w:val="Footer"/>
      <w:pBdr>
        <w:top w:val="single" w:sz="4" w:space="4" w:color="auto"/>
      </w:pBdr>
      <w:tabs>
        <w:tab w:val="clear" w:pos="7655"/>
        <w:tab w:val="right" w:pos="9639"/>
      </w:tabs>
      <w:rPr>
        <w:szCs w:val="18"/>
      </w:rPr>
    </w:pPr>
    <w:r>
      <w:rPr>
        <w:szCs w:val="18"/>
      </w:rPr>
      <w:t>6</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sidR="00FC36F7">
      <w:rPr>
        <w:noProof/>
        <w:szCs w:val="18"/>
      </w:rPr>
      <w:t>16</w:t>
    </w:r>
    <w:r w:rsidRPr="00D67CF6">
      <w:rPr>
        <w:szCs w:val="18"/>
      </w:rPr>
      <w:fldChar w:fldCharType="end"/>
    </w:r>
    <w:r>
      <w:rPr>
        <w:szCs w:val="18"/>
      </w:rPr>
      <w:tab/>
    </w:r>
    <w:r w:rsidRPr="00913FBD">
      <w:rPr>
        <w:szCs w:val="14"/>
      </w:rPr>
      <w:t>Outcome</w:t>
    </w:r>
    <w:r>
      <w:rPr>
        <w:szCs w:val="14"/>
      </w:rPr>
      <w:t>s</w:t>
    </w:r>
    <w:r w:rsidRPr="00913FBD">
      <w:rPr>
        <w:szCs w:val="14"/>
      </w:rPr>
      <w:t xml:space="preserve"> Statement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A109" w14:textId="1CBC6A81" w:rsidR="002D68ED" w:rsidRPr="00B94475" w:rsidRDefault="002D68ED" w:rsidP="00B94475">
    <w:pPr>
      <w:pStyle w:val="Footer"/>
      <w:pBdr>
        <w:top w:val="single" w:sz="4" w:space="4" w:color="auto"/>
      </w:pBdr>
      <w:tabs>
        <w:tab w:val="clear" w:pos="7655"/>
        <w:tab w:val="left" w:pos="3405"/>
        <w:tab w:val="right" w:pos="9639"/>
      </w:tabs>
      <w:rPr>
        <w:rFonts w:cs="Arial"/>
        <w:szCs w:val="18"/>
      </w:rPr>
    </w:pPr>
    <w:r>
      <w:rPr>
        <w:szCs w:val="18"/>
      </w:rPr>
      <w:t xml:space="preserve">Outcomes Statement </w:t>
    </w:r>
    <w:r w:rsidRPr="00B07CC2">
      <w:rPr>
        <w:rFonts w:cs="Arial"/>
        <w:szCs w:val="18"/>
      </w:rPr>
      <w:t>20</w:t>
    </w:r>
    <w:r>
      <w:rPr>
        <w:rFonts w:cs="Arial"/>
        <w:szCs w:val="18"/>
      </w:rPr>
      <w:t>20</w:t>
    </w:r>
    <w:r w:rsidRPr="00B07CC2">
      <w:rPr>
        <w:rFonts w:cs="Arial"/>
        <w:szCs w:val="18"/>
      </w:rPr>
      <w:t>-2</w:t>
    </w:r>
    <w:r>
      <w:rPr>
        <w:rFonts w:cs="Arial"/>
        <w:szCs w:val="18"/>
      </w:rPr>
      <w:t>1</w:t>
    </w:r>
    <w:r w:rsidRPr="00B07CC2">
      <w:rPr>
        <w:rFonts w:cs="Arial"/>
        <w:szCs w:val="18"/>
      </w:rPr>
      <w:tab/>
    </w:r>
    <w:r>
      <w:rPr>
        <w:rFonts w:cs="Arial"/>
        <w:szCs w:val="18"/>
      </w:rPr>
      <w:tab/>
      <w:t>6</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FC36F7">
      <w:rPr>
        <w:rFonts w:cs="Arial"/>
        <w:noProof/>
        <w:szCs w:val="18"/>
      </w:rPr>
      <w:t>17</w:t>
    </w:r>
    <w:r w:rsidRPr="00B07CC2">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C32C" w14:textId="242E47C4" w:rsidR="002D68ED" w:rsidRPr="00427182" w:rsidRDefault="002D68ED" w:rsidP="00BA74C6">
    <w:pPr>
      <w:pStyle w:val="Footer"/>
      <w:pBdr>
        <w:top w:val="single" w:sz="4" w:space="4" w:color="auto"/>
      </w:pBdr>
      <w:tabs>
        <w:tab w:val="clear" w:pos="7655"/>
        <w:tab w:val="left" w:pos="3405"/>
        <w:tab w:val="right" w:pos="9639"/>
      </w:tabs>
      <w:rPr>
        <w:szCs w:val="14"/>
      </w:rPr>
    </w:pPr>
    <w:r w:rsidRPr="00913FBD">
      <w:rPr>
        <w:szCs w:val="14"/>
      </w:rPr>
      <w:t>Outcome</w:t>
    </w:r>
    <w:r>
      <w:rPr>
        <w:szCs w:val="14"/>
      </w:rPr>
      <w:t>s</w:t>
    </w:r>
    <w:r w:rsidRPr="00913FBD">
      <w:rPr>
        <w:szCs w:val="14"/>
      </w:rPr>
      <w:t xml:space="preserve"> Statement 2020-21</w:t>
    </w:r>
    <w:r>
      <w:rPr>
        <w:rFonts w:cs="Arial"/>
        <w:szCs w:val="18"/>
      </w:rPr>
      <w:tab/>
    </w:r>
    <w:r w:rsidRPr="00B07CC2">
      <w:rPr>
        <w:rFonts w:cs="Arial"/>
        <w:szCs w:val="18"/>
      </w:rPr>
      <w:tab/>
    </w:r>
    <w:r>
      <w:rPr>
        <w:rFonts w:cs="Arial"/>
        <w:szCs w:val="18"/>
      </w:rPr>
      <w:t>6</w:t>
    </w:r>
    <w:r w:rsidRPr="00B07CC2">
      <w:rPr>
        <w:rFonts w:cs="Arial"/>
        <w:szCs w:val="18"/>
      </w:rPr>
      <w:t xml:space="preserve"> - </w:t>
    </w:r>
    <w:r w:rsidRPr="00B07CC2">
      <w:rPr>
        <w:rFonts w:cs="Arial"/>
        <w:szCs w:val="18"/>
      </w:rPr>
      <w:fldChar w:fldCharType="begin"/>
    </w:r>
    <w:r w:rsidRPr="00B07CC2">
      <w:rPr>
        <w:rFonts w:cs="Arial"/>
        <w:szCs w:val="18"/>
      </w:rPr>
      <w:instrText xml:space="preserve"> PAGE  \* MERGEFORMAT </w:instrText>
    </w:r>
    <w:r w:rsidRPr="00B07CC2">
      <w:rPr>
        <w:rFonts w:cs="Arial"/>
        <w:szCs w:val="18"/>
      </w:rPr>
      <w:fldChar w:fldCharType="separate"/>
    </w:r>
    <w:r w:rsidR="00FC36F7">
      <w:rPr>
        <w:rFonts w:cs="Arial"/>
        <w:noProof/>
        <w:szCs w:val="18"/>
      </w:rPr>
      <w:t>1</w:t>
    </w:r>
    <w:r w:rsidRPr="00B07CC2">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D025" w14:textId="77777777" w:rsidR="005E38E9" w:rsidRDefault="005E38E9">
      <w:pPr>
        <w:spacing w:after="0" w:line="240" w:lineRule="auto"/>
      </w:pPr>
      <w:r>
        <w:separator/>
      </w:r>
    </w:p>
  </w:footnote>
  <w:footnote w:type="continuationSeparator" w:id="0">
    <w:p w14:paraId="6161289D" w14:textId="77777777" w:rsidR="005E38E9" w:rsidRDefault="005E38E9">
      <w:pPr>
        <w:spacing w:after="0" w:line="240" w:lineRule="auto"/>
      </w:pPr>
      <w:r>
        <w:continuationSeparator/>
      </w:r>
    </w:p>
  </w:footnote>
  <w:footnote w:type="continuationNotice" w:id="1">
    <w:p w14:paraId="6519AF2F" w14:textId="77777777" w:rsidR="005E38E9" w:rsidRDefault="005E38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F2EB" w14:textId="33BCF186" w:rsidR="002D68ED" w:rsidRPr="00E6429A" w:rsidRDefault="002D68ED" w:rsidP="00E6429A">
    <w:pPr>
      <w:pStyle w:val="HeaderHeading"/>
      <w:pageBreakBefore w:val="0"/>
      <w:pBdr>
        <w:bottom w:val="single" w:sz="4" w:space="4" w:color="auto"/>
      </w:pBdr>
      <w:rPr>
        <w:rFonts w:ascii="Arial" w:hAnsi="Arial"/>
        <w:sz w:val="18"/>
        <w:szCs w:val="18"/>
      </w:rPr>
    </w:pPr>
    <w:r>
      <w:rPr>
        <w:rFonts w:ascii="Arial" w:hAnsi="Arial"/>
        <w:sz w:val="18"/>
        <w:szCs w:val="18"/>
      </w:rPr>
      <w:t>Regional NSW Cluster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D827" w14:textId="728A7C57" w:rsidR="002D68ED" w:rsidRPr="007E370C" w:rsidRDefault="002D68ED" w:rsidP="007E370C">
    <w:pPr>
      <w:pStyle w:val="HeaderHeading"/>
      <w:pageBreakBefore w:val="0"/>
      <w:pBdr>
        <w:bottom w:val="single" w:sz="4" w:space="4" w:color="auto"/>
      </w:pBdr>
      <w:jc w:val="right"/>
      <w:rPr>
        <w:rFonts w:ascii="Arial" w:hAnsi="Arial"/>
        <w:sz w:val="18"/>
        <w:szCs w:val="18"/>
      </w:rPr>
    </w:pPr>
    <w:r>
      <w:rPr>
        <w:rFonts w:ascii="Arial" w:hAnsi="Arial"/>
        <w:sz w:val="18"/>
        <w:szCs w:val="18"/>
      </w:rPr>
      <w:t>Regional NSW Cluster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FC8"/>
    <w:multiLevelType w:val="hybridMultilevel"/>
    <w:tmpl w:val="1382D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DB3169"/>
    <w:multiLevelType w:val="hybridMultilevel"/>
    <w:tmpl w:val="3454E858"/>
    <w:lvl w:ilvl="0" w:tplc="E9FADD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A17B02"/>
    <w:multiLevelType w:val="hybridMultilevel"/>
    <w:tmpl w:val="134A7422"/>
    <w:lvl w:ilvl="0" w:tplc="C5980A44">
      <w:start w:val="1"/>
      <w:numFmt w:val="decimal"/>
      <w:pStyle w:val="Heading2"/>
      <w:lvlText w:val="6.%1"/>
      <w:lvlJc w:val="left"/>
      <w:pPr>
        <w:ind w:left="360" w:hanging="360"/>
      </w:pPr>
      <w:rPr>
        <w:rFonts w:ascii="Arial Bold" w:hAnsi="Arial Bold" w:hint="default"/>
        <w:b/>
        <w:i w:val="0"/>
        <w:color w:val="53C8E9"/>
        <w:sz w:val="28"/>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B74B8B"/>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12807089"/>
    <w:multiLevelType w:val="multilevel"/>
    <w:tmpl w:val="FB9ADDD8"/>
    <w:lvl w:ilvl="0">
      <w:start w:val="6"/>
      <w:numFmt w:val="decimal"/>
      <w:lvlText w:val="%1"/>
      <w:lvlJc w:val="left"/>
      <w:pPr>
        <w:ind w:left="405" w:hanging="405"/>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 w15:restartNumberingAfterBreak="0">
    <w:nsid w:val="27825C5E"/>
    <w:multiLevelType w:val="hybridMultilevel"/>
    <w:tmpl w:val="42144D70"/>
    <w:lvl w:ilvl="0" w:tplc="27F072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08695F"/>
    <w:multiLevelType w:val="hybridMultilevel"/>
    <w:tmpl w:val="5F9EB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BB114B"/>
    <w:multiLevelType w:val="hybridMultilevel"/>
    <w:tmpl w:val="8A2C419C"/>
    <w:lvl w:ilvl="0" w:tplc="8970277E">
      <w:start w:val="1"/>
      <w:numFmt w:val="bullet"/>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D56323"/>
    <w:multiLevelType w:val="hybridMultilevel"/>
    <w:tmpl w:val="4B161DA2"/>
    <w:lvl w:ilvl="0" w:tplc="1EDE7E80">
      <w:start w:val="1"/>
      <w:numFmt w:val="bullet"/>
      <w:pStyle w:val="Bullet1inabox"/>
      <w:lvlText w:val=""/>
      <w:lvlJc w:val="left"/>
      <w:pPr>
        <w:ind w:left="720" w:hanging="360"/>
      </w:pPr>
      <w:rPr>
        <w:rFonts w:ascii="Symbol" w:hAnsi="Symbol" w:hint="default"/>
        <w:color w:val="008E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5E1517"/>
    <w:multiLevelType w:val="hybridMultilevel"/>
    <w:tmpl w:val="FE7A4732"/>
    <w:lvl w:ilvl="0" w:tplc="BFB03B94">
      <w:start w:val="1"/>
      <w:numFmt w:val="decimal"/>
      <w:pStyle w:val="Table11"/>
      <w:lvlText w:val="Table 1.%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C5302"/>
    <w:multiLevelType w:val="hybridMultilevel"/>
    <w:tmpl w:val="401603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9542F0E"/>
    <w:multiLevelType w:val="hybridMultilevel"/>
    <w:tmpl w:val="A6FA3970"/>
    <w:lvl w:ilvl="0" w:tplc="427036C6">
      <w:start w:val="1"/>
      <w:numFmt w:val="decimal"/>
      <w:pStyle w:val="Chart4X"/>
      <w:lvlText w:val="Chart 6.%1:"/>
      <w:lvlJc w:val="left"/>
      <w:pPr>
        <w:ind w:left="36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AF6807"/>
    <w:multiLevelType w:val="hybridMultilevel"/>
    <w:tmpl w:val="437A1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46601E"/>
    <w:multiLevelType w:val="hybridMultilevel"/>
    <w:tmpl w:val="7534B582"/>
    <w:lvl w:ilvl="0" w:tplc="0C090001">
      <w:start w:val="1"/>
      <w:numFmt w:val="bullet"/>
      <w:lvlText w:val=""/>
      <w:lvlJc w:val="left"/>
      <w:pPr>
        <w:ind w:left="786" w:hanging="360"/>
      </w:pPr>
      <w:rPr>
        <w:rFonts w:ascii="Symbol" w:hAnsi="Symbol"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6D6B71F0"/>
    <w:multiLevelType w:val="hybridMultilevel"/>
    <w:tmpl w:val="14C8A13A"/>
    <w:lvl w:ilvl="0" w:tplc="E72289A6">
      <w:start w:val="10"/>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DDE3D2F"/>
    <w:multiLevelType w:val="hybridMultilevel"/>
    <w:tmpl w:val="FBF6AA6C"/>
    <w:lvl w:ilvl="0" w:tplc="76A2BEF2">
      <w:start w:val="1"/>
      <w:numFmt w:val="decimal"/>
      <w:pStyle w:val="Chart11"/>
      <w:lvlText w:val="Chart 1.%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0E20A0"/>
    <w:multiLevelType w:val="hybridMultilevel"/>
    <w:tmpl w:val="A1CA6AB4"/>
    <w:lvl w:ilvl="0" w:tplc="3F24AD7C">
      <w:start w:val="1"/>
      <w:numFmt w:val="decimal"/>
      <w:pStyle w:val="Chart2X"/>
      <w:lvlText w:val="6.%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5E1539"/>
    <w:multiLevelType w:val="hybridMultilevel"/>
    <w:tmpl w:val="DE2610BA"/>
    <w:lvl w:ilvl="0" w:tplc="8368ACF6">
      <w:start w:val="1"/>
      <w:numFmt w:val="bullet"/>
      <w:pStyle w:val="Bullet1"/>
      <w:lvlText w:val=""/>
      <w:lvlJc w:val="left"/>
      <w:pPr>
        <w:ind w:left="36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7750E1"/>
    <w:multiLevelType w:val="hybridMultilevel"/>
    <w:tmpl w:val="D2DA6A92"/>
    <w:lvl w:ilvl="0" w:tplc="D382ABD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010E7F"/>
    <w:multiLevelType w:val="hybridMultilevel"/>
    <w:tmpl w:val="A06E3D7C"/>
    <w:lvl w:ilvl="0" w:tplc="B2BEB21A">
      <w:start w:val="1"/>
      <w:numFmt w:val="bullet"/>
      <w:pStyle w:val="Bullet2inabox"/>
      <w:lvlText w:val=""/>
      <w:lvlJc w:val="left"/>
      <w:pPr>
        <w:ind w:left="360" w:hanging="360"/>
      </w:pPr>
      <w:rPr>
        <w:rFonts w:ascii="Symbol" w:hAnsi="Symbol" w:hint="default"/>
        <w:color w:val="auto"/>
        <w:sz w:val="23"/>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19"/>
  </w:num>
  <w:num w:numId="4">
    <w:abstractNumId w:val="10"/>
  </w:num>
  <w:num w:numId="5">
    <w:abstractNumId w:val="16"/>
  </w:num>
  <w:num w:numId="6">
    <w:abstractNumId w:val="15"/>
  </w:num>
  <w:num w:numId="7">
    <w:abstractNumId w:val="9"/>
  </w:num>
  <w:num w:numId="8">
    <w:abstractNumId w:val="4"/>
  </w:num>
  <w:num w:numId="9">
    <w:abstractNumId w:val="0"/>
  </w:num>
  <w:num w:numId="10">
    <w:abstractNumId w:val="6"/>
  </w:num>
  <w:num w:numId="11">
    <w:abstractNumId w:val="11"/>
  </w:num>
  <w:num w:numId="12">
    <w:abstractNumId w:val="8"/>
  </w:num>
  <w:num w:numId="13">
    <w:abstractNumId w:val="5"/>
  </w:num>
  <w:num w:numId="14">
    <w:abstractNumId w:val="17"/>
  </w:num>
  <w:num w:numId="15">
    <w:abstractNumId w:val="18"/>
  </w:num>
  <w:num w:numId="16">
    <w:abstractNumId w:val="7"/>
  </w:num>
  <w:num w:numId="17">
    <w:abstractNumId w:val="10"/>
  </w:num>
  <w:num w:numId="18">
    <w:abstractNumId w:val="20"/>
  </w:num>
  <w:num w:numId="19">
    <w:abstractNumId w:val="20"/>
  </w:num>
  <w:num w:numId="20">
    <w:abstractNumId w:val="14"/>
  </w:num>
  <w:num w:numId="21">
    <w:abstractNumId w:val="3"/>
  </w:num>
  <w:num w:numId="22">
    <w:abstractNumId w:val="1"/>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94"/>
    <w:rsid w:val="000003DC"/>
    <w:rsid w:val="00000EF9"/>
    <w:rsid w:val="00001BF8"/>
    <w:rsid w:val="0000216E"/>
    <w:rsid w:val="0000280E"/>
    <w:rsid w:val="000052E4"/>
    <w:rsid w:val="000057A6"/>
    <w:rsid w:val="000063AF"/>
    <w:rsid w:val="00006E1A"/>
    <w:rsid w:val="000074D1"/>
    <w:rsid w:val="00007561"/>
    <w:rsid w:val="00007AC4"/>
    <w:rsid w:val="000101AC"/>
    <w:rsid w:val="0001041C"/>
    <w:rsid w:val="0001050C"/>
    <w:rsid w:val="00010E7F"/>
    <w:rsid w:val="00011F8D"/>
    <w:rsid w:val="000126AF"/>
    <w:rsid w:val="000126B7"/>
    <w:rsid w:val="00013214"/>
    <w:rsid w:val="00014111"/>
    <w:rsid w:val="0001425E"/>
    <w:rsid w:val="00014601"/>
    <w:rsid w:val="0001502D"/>
    <w:rsid w:val="00015BA9"/>
    <w:rsid w:val="000167AF"/>
    <w:rsid w:val="00016C3A"/>
    <w:rsid w:val="0001738A"/>
    <w:rsid w:val="00017811"/>
    <w:rsid w:val="000205D6"/>
    <w:rsid w:val="00020CB1"/>
    <w:rsid w:val="0002167C"/>
    <w:rsid w:val="00023329"/>
    <w:rsid w:val="000233C9"/>
    <w:rsid w:val="00024299"/>
    <w:rsid w:val="000247D7"/>
    <w:rsid w:val="00024E9C"/>
    <w:rsid w:val="00025350"/>
    <w:rsid w:val="00025367"/>
    <w:rsid w:val="0002538A"/>
    <w:rsid w:val="000263D6"/>
    <w:rsid w:val="000268AD"/>
    <w:rsid w:val="00026FBB"/>
    <w:rsid w:val="00027448"/>
    <w:rsid w:val="0002783B"/>
    <w:rsid w:val="00027D28"/>
    <w:rsid w:val="00030350"/>
    <w:rsid w:val="00030DFC"/>
    <w:rsid w:val="00031733"/>
    <w:rsid w:val="00031781"/>
    <w:rsid w:val="00031C8B"/>
    <w:rsid w:val="000321AD"/>
    <w:rsid w:val="0003295C"/>
    <w:rsid w:val="00032F11"/>
    <w:rsid w:val="00033075"/>
    <w:rsid w:val="000330A0"/>
    <w:rsid w:val="00033966"/>
    <w:rsid w:val="00034E8E"/>
    <w:rsid w:val="00034EA4"/>
    <w:rsid w:val="00034F8F"/>
    <w:rsid w:val="00035183"/>
    <w:rsid w:val="00036602"/>
    <w:rsid w:val="00040131"/>
    <w:rsid w:val="00040C1F"/>
    <w:rsid w:val="00040D26"/>
    <w:rsid w:val="00041031"/>
    <w:rsid w:val="00042822"/>
    <w:rsid w:val="00042A29"/>
    <w:rsid w:val="00042ABE"/>
    <w:rsid w:val="00042C97"/>
    <w:rsid w:val="0004362E"/>
    <w:rsid w:val="00045024"/>
    <w:rsid w:val="000456DC"/>
    <w:rsid w:val="0004613C"/>
    <w:rsid w:val="000467DD"/>
    <w:rsid w:val="00046AF7"/>
    <w:rsid w:val="00046DE0"/>
    <w:rsid w:val="00046EB1"/>
    <w:rsid w:val="00047290"/>
    <w:rsid w:val="00047842"/>
    <w:rsid w:val="00047E7A"/>
    <w:rsid w:val="000503D7"/>
    <w:rsid w:val="000503D9"/>
    <w:rsid w:val="0005115E"/>
    <w:rsid w:val="000519F3"/>
    <w:rsid w:val="000522A7"/>
    <w:rsid w:val="00052328"/>
    <w:rsid w:val="0005276E"/>
    <w:rsid w:val="00052F40"/>
    <w:rsid w:val="000543D2"/>
    <w:rsid w:val="0005471D"/>
    <w:rsid w:val="00055B63"/>
    <w:rsid w:val="00056086"/>
    <w:rsid w:val="0005614E"/>
    <w:rsid w:val="00056912"/>
    <w:rsid w:val="00056987"/>
    <w:rsid w:val="00056DB3"/>
    <w:rsid w:val="00056EF5"/>
    <w:rsid w:val="000573D1"/>
    <w:rsid w:val="00057538"/>
    <w:rsid w:val="00057D64"/>
    <w:rsid w:val="00060C75"/>
    <w:rsid w:val="000611D3"/>
    <w:rsid w:val="00061294"/>
    <w:rsid w:val="000615DE"/>
    <w:rsid w:val="00061D94"/>
    <w:rsid w:val="00062210"/>
    <w:rsid w:val="000624DE"/>
    <w:rsid w:val="00062F05"/>
    <w:rsid w:val="000632D8"/>
    <w:rsid w:val="00063549"/>
    <w:rsid w:val="000640AB"/>
    <w:rsid w:val="00064856"/>
    <w:rsid w:val="00064A0C"/>
    <w:rsid w:val="000659CF"/>
    <w:rsid w:val="00066CC0"/>
    <w:rsid w:val="00067138"/>
    <w:rsid w:val="00067301"/>
    <w:rsid w:val="00067371"/>
    <w:rsid w:val="00067A5A"/>
    <w:rsid w:val="000709AA"/>
    <w:rsid w:val="000719EE"/>
    <w:rsid w:val="00071D29"/>
    <w:rsid w:val="00071E11"/>
    <w:rsid w:val="000720B0"/>
    <w:rsid w:val="00072ACA"/>
    <w:rsid w:val="0007471E"/>
    <w:rsid w:val="000747B2"/>
    <w:rsid w:val="0007591B"/>
    <w:rsid w:val="00075DCD"/>
    <w:rsid w:val="00076472"/>
    <w:rsid w:val="0007649A"/>
    <w:rsid w:val="00076B68"/>
    <w:rsid w:val="00076D3B"/>
    <w:rsid w:val="00076EF9"/>
    <w:rsid w:val="000801CF"/>
    <w:rsid w:val="00080917"/>
    <w:rsid w:val="00081243"/>
    <w:rsid w:val="00081E35"/>
    <w:rsid w:val="00082EF4"/>
    <w:rsid w:val="00083021"/>
    <w:rsid w:val="000830C3"/>
    <w:rsid w:val="000836CA"/>
    <w:rsid w:val="0008466E"/>
    <w:rsid w:val="000849FD"/>
    <w:rsid w:val="00084C15"/>
    <w:rsid w:val="00084C64"/>
    <w:rsid w:val="00085B16"/>
    <w:rsid w:val="00086C91"/>
    <w:rsid w:val="00086EBF"/>
    <w:rsid w:val="000870E5"/>
    <w:rsid w:val="00087462"/>
    <w:rsid w:val="00087D1E"/>
    <w:rsid w:val="0009006E"/>
    <w:rsid w:val="00090561"/>
    <w:rsid w:val="00090AA0"/>
    <w:rsid w:val="00090DC0"/>
    <w:rsid w:val="00090E91"/>
    <w:rsid w:val="00090FB7"/>
    <w:rsid w:val="0009137F"/>
    <w:rsid w:val="000928D2"/>
    <w:rsid w:val="000935D0"/>
    <w:rsid w:val="0009360C"/>
    <w:rsid w:val="00094A1F"/>
    <w:rsid w:val="00095741"/>
    <w:rsid w:val="00095BF1"/>
    <w:rsid w:val="0009655E"/>
    <w:rsid w:val="0009678D"/>
    <w:rsid w:val="000972B3"/>
    <w:rsid w:val="00097662"/>
    <w:rsid w:val="00097A1A"/>
    <w:rsid w:val="000A0672"/>
    <w:rsid w:val="000A0DD9"/>
    <w:rsid w:val="000A2850"/>
    <w:rsid w:val="000A2A9D"/>
    <w:rsid w:val="000A2C95"/>
    <w:rsid w:val="000A3860"/>
    <w:rsid w:val="000A44CA"/>
    <w:rsid w:val="000A48B3"/>
    <w:rsid w:val="000A5046"/>
    <w:rsid w:val="000A643D"/>
    <w:rsid w:val="000A6691"/>
    <w:rsid w:val="000A7C45"/>
    <w:rsid w:val="000B0165"/>
    <w:rsid w:val="000B0CC8"/>
    <w:rsid w:val="000B206F"/>
    <w:rsid w:val="000B21B4"/>
    <w:rsid w:val="000B3148"/>
    <w:rsid w:val="000B3972"/>
    <w:rsid w:val="000B3C1C"/>
    <w:rsid w:val="000B4D8A"/>
    <w:rsid w:val="000B55FE"/>
    <w:rsid w:val="000B6338"/>
    <w:rsid w:val="000B6430"/>
    <w:rsid w:val="000C0301"/>
    <w:rsid w:val="000C0C19"/>
    <w:rsid w:val="000C0F3F"/>
    <w:rsid w:val="000C1417"/>
    <w:rsid w:val="000C216E"/>
    <w:rsid w:val="000C2910"/>
    <w:rsid w:val="000C3087"/>
    <w:rsid w:val="000C3711"/>
    <w:rsid w:val="000C3A4A"/>
    <w:rsid w:val="000C3BD7"/>
    <w:rsid w:val="000C3CD5"/>
    <w:rsid w:val="000C4019"/>
    <w:rsid w:val="000C4C26"/>
    <w:rsid w:val="000C4FAC"/>
    <w:rsid w:val="000C5784"/>
    <w:rsid w:val="000C5D33"/>
    <w:rsid w:val="000C62BC"/>
    <w:rsid w:val="000C6B9A"/>
    <w:rsid w:val="000C6D41"/>
    <w:rsid w:val="000C6D96"/>
    <w:rsid w:val="000C7ABB"/>
    <w:rsid w:val="000D00EC"/>
    <w:rsid w:val="000D09C0"/>
    <w:rsid w:val="000D0C70"/>
    <w:rsid w:val="000D138E"/>
    <w:rsid w:val="000D1558"/>
    <w:rsid w:val="000D168E"/>
    <w:rsid w:val="000D189D"/>
    <w:rsid w:val="000D20CF"/>
    <w:rsid w:val="000D2232"/>
    <w:rsid w:val="000D2581"/>
    <w:rsid w:val="000D2B9E"/>
    <w:rsid w:val="000D37C1"/>
    <w:rsid w:val="000D41A7"/>
    <w:rsid w:val="000D46B3"/>
    <w:rsid w:val="000D4ADF"/>
    <w:rsid w:val="000D6257"/>
    <w:rsid w:val="000D6386"/>
    <w:rsid w:val="000D67BB"/>
    <w:rsid w:val="000D6825"/>
    <w:rsid w:val="000D7AD3"/>
    <w:rsid w:val="000E0278"/>
    <w:rsid w:val="000E03A2"/>
    <w:rsid w:val="000E0C32"/>
    <w:rsid w:val="000E0ED8"/>
    <w:rsid w:val="000E13C6"/>
    <w:rsid w:val="000E14FC"/>
    <w:rsid w:val="000E15D0"/>
    <w:rsid w:val="000E1C32"/>
    <w:rsid w:val="000E1D98"/>
    <w:rsid w:val="000E24A6"/>
    <w:rsid w:val="000E253B"/>
    <w:rsid w:val="000E2A4B"/>
    <w:rsid w:val="000E2B73"/>
    <w:rsid w:val="000E3387"/>
    <w:rsid w:val="000E36D0"/>
    <w:rsid w:val="000E3C55"/>
    <w:rsid w:val="000E41BD"/>
    <w:rsid w:val="000E4399"/>
    <w:rsid w:val="000E45B8"/>
    <w:rsid w:val="000E4697"/>
    <w:rsid w:val="000E4E18"/>
    <w:rsid w:val="000E4E5F"/>
    <w:rsid w:val="000E60B8"/>
    <w:rsid w:val="000E7D73"/>
    <w:rsid w:val="000F0A7D"/>
    <w:rsid w:val="000F1616"/>
    <w:rsid w:val="000F17FC"/>
    <w:rsid w:val="000F1873"/>
    <w:rsid w:val="000F1FC5"/>
    <w:rsid w:val="000F2D8D"/>
    <w:rsid w:val="000F5699"/>
    <w:rsid w:val="000F5951"/>
    <w:rsid w:val="000F59CF"/>
    <w:rsid w:val="000F5A04"/>
    <w:rsid w:val="000F5DDE"/>
    <w:rsid w:val="000F64FB"/>
    <w:rsid w:val="000F6708"/>
    <w:rsid w:val="000F6DB5"/>
    <w:rsid w:val="000F7167"/>
    <w:rsid w:val="000F74B4"/>
    <w:rsid w:val="000F7741"/>
    <w:rsid w:val="001004FB"/>
    <w:rsid w:val="00101135"/>
    <w:rsid w:val="00101667"/>
    <w:rsid w:val="0010219A"/>
    <w:rsid w:val="0010233C"/>
    <w:rsid w:val="001027EE"/>
    <w:rsid w:val="00102F4B"/>
    <w:rsid w:val="00104467"/>
    <w:rsid w:val="00104F53"/>
    <w:rsid w:val="00105138"/>
    <w:rsid w:val="00107756"/>
    <w:rsid w:val="001100AC"/>
    <w:rsid w:val="00110709"/>
    <w:rsid w:val="001112AC"/>
    <w:rsid w:val="00111E98"/>
    <w:rsid w:val="00112097"/>
    <w:rsid w:val="0011267D"/>
    <w:rsid w:val="00112FCA"/>
    <w:rsid w:val="001131DA"/>
    <w:rsid w:val="00113589"/>
    <w:rsid w:val="00113629"/>
    <w:rsid w:val="00113D88"/>
    <w:rsid w:val="00113E64"/>
    <w:rsid w:val="00115822"/>
    <w:rsid w:val="00115ACF"/>
    <w:rsid w:val="0011649A"/>
    <w:rsid w:val="00116E4A"/>
    <w:rsid w:val="0011702A"/>
    <w:rsid w:val="001177AA"/>
    <w:rsid w:val="0012022D"/>
    <w:rsid w:val="0012057C"/>
    <w:rsid w:val="00120B61"/>
    <w:rsid w:val="00120BF4"/>
    <w:rsid w:val="00120D47"/>
    <w:rsid w:val="00120E99"/>
    <w:rsid w:val="00121A09"/>
    <w:rsid w:val="00122484"/>
    <w:rsid w:val="001236F1"/>
    <w:rsid w:val="00123F23"/>
    <w:rsid w:val="00124469"/>
    <w:rsid w:val="001248F8"/>
    <w:rsid w:val="001251E4"/>
    <w:rsid w:val="0012583F"/>
    <w:rsid w:val="001263AA"/>
    <w:rsid w:val="00126854"/>
    <w:rsid w:val="001276DB"/>
    <w:rsid w:val="0013177A"/>
    <w:rsid w:val="001326DC"/>
    <w:rsid w:val="0013312B"/>
    <w:rsid w:val="00133238"/>
    <w:rsid w:val="00133C84"/>
    <w:rsid w:val="00134184"/>
    <w:rsid w:val="001343F5"/>
    <w:rsid w:val="00134538"/>
    <w:rsid w:val="0013508E"/>
    <w:rsid w:val="001351C4"/>
    <w:rsid w:val="001351D9"/>
    <w:rsid w:val="00135B08"/>
    <w:rsid w:val="0013654C"/>
    <w:rsid w:val="00136C7F"/>
    <w:rsid w:val="00136D96"/>
    <w:rsid w:val="00136DF0"/>
    <w:rsid w:val="00137D1F"/>
    <w:rsid w:val="001404F1"/>
    <w:rsid w:val="0014067F"/>
    <w:rsid w:val="00140948"/>
    <w:rsid w:val="00142230"/>
    <w:rsid w:val="00142396"/>
    <w:rsid w:val="001424F8"/>
    <w:rsid w:val="0014250E"/>
    <w:rsid w:val="001428B4"/>
    <w:rsid w:val="00142D15"/>
    <w:rsid w:val="001432A0"/>
    <w:rsid w:val="00143E1F"/>
    <w:rsid w:val="0014468C"/>
    <w:rsid w:val="00145299"/>
    <w:rsid w:val="00146543"/>
    <w:rsid w:val="00146B79"/>
    <w:rsid w:val="00147372"/>
    <w:rsid w:val="00147924"/>
    <w:rsid w:val="00147E56"/>
    <w:rsid w:val="00147E75"/>
    <w:rsid w:val="00147EAB"/>
    <w:rsid w:val="001505D9"/>
    <w:rsid w:val="00150671"/>
    <w:rsid w:val="001508EA"/>
    <w:rsid w:val="001510A3"/>
    <w:rsid w:val="00152535"/>
    <w:rsid w:val="00152C35"/>
    <w:rsid w:val="001533E9"/>
    <w:rsid w:val="001534AC"/>
    <w:rsid w:val="00153F6E"/>
    <w:rsid w:val="00154773"/>
    <w:rsid w:val="001547C2"/>
    <w:rsid w:val="00155C38"/>
    <w:rsid w:val="0015636B"/>
    <w:rsid w:val="001563E1"/>
    <w:rsid w:val="001563E5"/>
    <w:rsid w:val="0015653C"/>
    <w:rsid w:val="001607C3"/>
    <w:rsid w:val="00160858"/>
    <w:rsid w:val="00160DB5"/>
    <w:rsid w:val="0016101C"/>
    <w:rsid w:val="00161B5D"/>
    <w:rsid w:val="001630FA"/>
    <w:rsid w:val="001638D8"/>
    <w:rsid w:val="00164B7E"/>
    <w:rsid w:val="00164DCA"/>
    <w:rsid w:val="0016656D"/>
    <w:rsid w:val="001676CC"/>
    <w:rsid w:val="00167C7B"/>
    <w:rsid w:val="001700ED"/>
    <w:rsid w:val="001701F2"/>
    <w:rsid w:val="001718BB"/>
    <w:rsid w:val="00171A22"/>
    <w:rsid w:val="00172250"/>
    <w:rsid w:val="0017286B"/>
    <w:rsid w:val="00172A5A"/>
    <w:rsid w:val="00172D84"/>
    <w:rsid w:val="00173169"/>
    <w:rsid w:val="001731F4"/>
    <w:rsid w:val="00173FE5"/>
    <w:rsid w:val="0017401F"/>
    <w:rsid w:val="0017448C"/>
    <w:rsid w:val="0017457F"/>
    <w:rsid w:val="00174A23"/>
    <w:rsid w:val="00174E47"/>
    <w:rsid w:val="00174F74"/>
    <w:rsid w:val="001756FD"/>
    <w:rsid w:val="00175721"/>
    <w:rsid w:val="00176B1C"/>
    <w:rsid w:val="00176CB1"/>
    <w:rsid w:val="00177D8A"/>
    <w:rsid w:val="00180693"/>
    <w:rsid w:val="001814C8"/>
    <w:rsid w:val="001815ED"/>
    <w:rsid w:val="00181E43"/>
    <w:rsid w:val="00182945"/>
    <w:rsid w:val="0018350B"/>
    <w:rsid w:val="0018383F"/>
    <w:rsid w:val="00184209"/>
    <w:rsid w:val="0018490E"/>
    <w:rsid w:val="00184E0C"/>
    <w:rsid w:val="00185F4F"/>
    <w:rsid w:val="00186A1A"/>
    <w:rsid w:val="00187101"/>
    <w:rsid w:val="001874C6"/>
    <w:rsid w:val="00190963"/>
    <w:rsid w:val="00190D50"/>
    <w:rsid w:val="001921C4"/>
    <w:rsid w:val="00192F21"/>
    <w:rsid w:val="001937C2"/>
    <w:rsid w:val="00195E6E"/>
    <w:rsid w:val="00196773"/>
    <w:rsid w:val="0019739C"/>
    <w:rsid w:val="001973EC"/>
    <w:rsid w:val="001A0145"/>
    <w:rsid w:val="001A05CE"/>
    <w:rsid w:val="001A09D0"/>
    <w:rsid w:val="001A21C9"/>
    <w:rsid w:val="001A2AA4"/>
    <w:rsid w:val="001A2CCE"/>
    <w:rsid w:val="001A3676"/>
    <w:rsid w:val="001A3696"/>
    <w:rsid w:val="001A383F"/>
    <w:rsid w:val="001A3921"/>
    <w:rsid w:val="001A3B78"/>
    <w:rsid w:val="001A501A"/>
    <w:rsid w:val="001A5F39"/>
    <w:rsid w:val="001B0199"/>
    <w:rsid w:val="001B07CB"/>
    <w:rsid w:val="001B1347"/>
    <w:rsid w:val="001B27B0"/>
    <w:rsid w:val="001B2983"/>
    <w:rsid w:val="001B34D3"/>
    <w:rsid w:val="001B401E"/>
    <w:rsid w:val="001B40EE"/>
    <w:rsid w:val="001B5040"/>
    <w:rsid w:val="001B66E9"/>
    <w:rsid w:val="001B6748"/>
    <w:rsid w:val="001B7988"/>
    <w:rsid w:val="001C1681"/>
    <w:rsid w:val="001C1E23"/>
    <w:rsid w:val="001C2C62"/>
    <w:rsid w:val="001C2F6E"/>
    <w:rsid w:val="001C4609"/>
    <w:rsid w:val="001C509F"/>
    <w:rsid w:val="001C51B8"/>
    <w:rsid w:val="001C5741"/>
    <w:rsid w:val="001C6544"/>
    <w:rsid w:val="001C66A3"/>
    <w:rsid w:val="001C6CD3"/>
    <w:rsid w:val="001C7B65"/>
    <w:rsid w:val="001D039F"/>
    <w:rsid w:val="001D1144"/>
    <w:rsid w:val="001D2528"/>
    <w:rsid w:val="001D254C"/>
    <w:rsid w:val="001D487E"/>
    <w:rsid w:val="001D505B"/>
    <w:rsid w:val="001D5909"/>
    <w:rsid w:val="001D614A"/>
    <w:rsid w:val="001D6517"/>
    <w:rsid w:val="001D6A87"/>
    <w:rsid w:val="001D6D53"/>
    <w:rsid w:val="001D72EE"/>
    <w:rsid w:val="001D758F"/>
    <w:rsid w:val="001E24D5"/>
    <w:rsid w:val="001E2688"/>
    <w:rsid w:val="001E2AB3"/>
    <w:rsid w:val="001E3808"/>
    <w:rsid w:val="001E3CA6"/>
    <w:rsid w:val="001E4346"/>
    <w:rsid w:val="001E4463"/>
    <w:rsid w:val="001E62A1"/>
    <w:rsid w:val="001E6F92"/>
    <w:rsid w:val="001E741B"/>
    <w:rsid w:val="001E9079"/>
    <w:rsid w:val="001F0390"/>
    <w:rsid w:val="001F0CC8"/>
    <w:rsid w:val="001F0F38"/>
    <w:rsid w:val="001F1183"/>
    <w:rsid w:val="001F1194"/>
    <w:rsid w:val="001F1E58"/>
    <w:rsid w:val="001F2B69"/>
    <w:rsid w:val="001F2D69"/>
    <w:rsid w:val="001F35B3"/>
    <w:rsid w:val="001F3842"/>
    <w:rsid w:val="001F3D18"/>
    <w:rsid w:val="001F3DFF"/>
    <w:rsid w:val="001F3E20"/>
    <w:rsid w:val="001F43B1"/>
    <w:rsid w:val="001F4616"/>
    <w:rsid w:val="001F53DD"/>
    <w:rsid w:val="001F57D4"/>
    <w:rsid w:val="001F5C85"/>
    <w:rsid w:val="001F5D36"/>
    <w:rsid w:val="001F623F"/>
    <w:rsid w:val="001F6AD4"/>
    <w:rsid w:val="001F7396"/>
    <w:rsid w:val="001F7814"/>
    <w:rsid w:val="00200B3C"/>
    <w:rsid w:val="00200D81"/>
    <w:rsid w:val="002033DA"/>
    <w:rsid w:val="002038FA"/>
    <w:rsid w:val="00203C6B"/>
    <w:rsid w:val="002044E5"/>
    <w:rsid w:val="0020488E"/>
    <w:rsid w:val="00205413"/>
    <w:rsid w:val="00205595"/>
    <w:rsid w:val="00206546"/>
    <w:rsid w:val="002076F0"/>
    <w:rsid w:val="00210743"/>
    <w:rsid w:val="00211156"/>
    <w:rsid w:val="002119FB"/>
    <w:rsid w:val="00211AEC"/>
    <w:rsid w:val="00211F02"/>
    <w:rsid w:val="002123EF"/>
    <w:rsid w:val="00212676"/>
    <w:rsid w:val="00212852"/>
    <w:rsid w:val="00213A3D"/>
    <w:rsid w:val="00214AEB"/>
    <w:rsid w:val="0021535F"/>
    <w:rsid w:val="002162AF"/>
    <w:rsid w:val="002166B5"/>
    <w:rsid w:val="0021758E"/>
    <w:rsid w:val="00220354"/>
    <w:rsid w:val="00221268"/>
    <w:rsid w:val="00221CA3"/>
    <w:rsid w:val="00221D6B"/>
    <w:rsid w:val="0022200F"/>
    <w:rsid w:val="00222635"/>
    <w:rsid w:val="00222760"/>
    <w:rsid w:val="00222D8D"/>
    <w:rsid w:val="00223A7D"/>
    <w:rsid w:val="002257C3"/>
    <w:rsid w:val="00226089"/>
    <w:rsid w:val="00226F38"/>
    <w:rsid w:val="0023010B"/>
    <w:rsid w:val="002308CC"/>
    <w:rsid w:val="00230C39"/>
    <w:rsid w:val="00231964"/>
    <w:rsid w:val="0023228A"/>
    <w:rsid w:val="00232C48"/>
    <w:rsid w:val="002339B7"/>
    <w:rsid w:val="002340DD"/>
    <w:rsid w:val="0023411F"/>
    <w:rsid w:val="002341DC"/>
    <w:rsid w:val="00234269"/>
    <w:rsid w:val="002344D8"/>
    <w:rsid w:val="00234A2F"/>
    <w:rsid w:val="00235639"/>
    <w:rsid w:val="00236331"/>
    <w:rsid w:val="00237513"/>
    <w:rsid w:val="002379F2"/>
    <w:rsid w:val="0024087D"/>
    <w:rsid w:val="002415F3"/>
    <w:rsid w:val="002418BC"/>
    <w:rsid w:val="00241DC7"/>
    <w:rsid w:val="002422F4"/>
    <w:rsid w:val="00242B2D"/>
    <w:rsid w:val="00244013"/>
    <w:rsid w:val="0024475A"/>
    <w:rsid w:val="00244FAE"/>
    <w:rsid w:val="00245770"/>
    <w:rsid w:val="00245D09"/>
    <w:rsid w:val="002460EF"/>
    <w:rsid w:val="002464C1"/>
    <w:rsid w:val="0024693E"/>
    <w:rsid w:val="00246942"/>
    <w:rsid w:val="0024699F"/>
    <w:rsid w:val="00246CA9"/>
    <w:rsid w:val="00246FEC"/>
    <w:rsid w:val="0024744D"/>
    <w:rsid w:val="002474C5"/>
    <w:rsid w:val="002476FA"/>
    <w:rsid w:val="002477ED"/>
    <w:rsid w:val="00247933"/>
    <w:rsid w:val="00247F24"/>
    <w:rsid w:val="002501A6"/>
    <w:rsid w:val="00250C65"/>
    <w:rsid w:val="002512DE"/>
    <w:rsid w:val="00251ECC"/>
    <w:rsid w:val="00252377"/>
    <w:rsid w:val="00252DDA"/>
    <w:rsid w:val="00252F78"/>
    <w:rsid w:val="00255988"/>
    <w:rsid w:val="00255A77"/>
    <w:rsid w:val="00255C39"/>
    <w:rsid w:val="00255CAC"/>
    <w:rsid w:val="00257F96"/>
    <w:rsid w:val="0026014A"/>
    <w:rsid w:val="00260AB1"/>
    <w:rsid w:val="00260F10"/>
    <w:rsid w:val="002615F6"/>
    <w:rsid w:val="00262B8A"/>
    <w:rsid w:val="00262F8C"/>
    <w:rsid w:val="00263674"/>
    <w:rsid w:val="002642AC"/>
    <w:rsid w:val="00264D37"/>
    <w:rsid w:val="0026500B"/>
    <w:rsid w:val="0026563D"/>
    <w:rsid w:val="00265CAA"/>
    <w:rsid w:val="00265DE2"/>
    <w:rsid w:val="00265F67"/>
    <w:rsid w:val="0026631B"/>
    <w:rsid w:val="00266AFE"/>
    <w:rsid w:val="00266E39"/>
    <w:rsid w:val="002672F9"/>
    <w:rsid w:val="002677A7"/>
    <w:rsid w:val="00270B87"/>
    <w:rsid w:val="00270D45"/>
    <w:rsid w:val="002727D4"/>
    <w:rsid w:val="00272CFC"/>
    <w:rsid w:val="00272D8D"/>
    <w:rsid w:val="00272F0F"/>
    <w:rsid w:val="00273674"/>
    <w:rsid w:val="00273845"/>
    <w:rsid w:val="00275E6F"/>
    <w:rsid w:val="002767CB"/>
    <w:rsid w:val="00276B31"/>
    <w:rsid w:val="00277177"/>
    <w:rsid w:val="00280FB4"/>
    <w:rsid w:val="0028230C"/>
    <w:rsid w:val="00282397"/>
    <w:rsid w:val="002823A0"/>
    <w:rsid w:val="00282E70"/>
    <w:rsid w:val="00283238"/>
    <w:rsid w:val="002843B4"/>
    <w:rsid w:val="00284A2E"/>
    <w:rsid w:val="00285E80"/>
    <w:rsid w:val="00285E8B"/>
    <w:rsid w:val="00286981"/>
    <w:rsid w:val="0028723B"/>
    <w:rsid w:val="0029010C"/>
    <w:rsid w:val="00290247"/>
    <w:rsid w:val="00291F16"/>
    <w:rsid w:val="002923DC"/>
    <w:rsid w:val="00292A2A"/>
    <w:rsid w:val="002934BA"/>
    <w:rsid w:val="00293B4B"/>
    <w:rsid w:val="00293CD7"/>
    <w:rsid w:val="00294098"/>
    <w:rsid w:val="00294FE4"/>
    <w:rsid w:val="0029525C"/>
    <w:rsid w:val="0029543F"/>
    <w:rsid w:val="0029612C"/>
    <w:rsid w:val="00296261"/>
    <w:rsid w:val="00296669"/>
    <w:rsid w:val="0029733F"/>
    <w:rsid w:val="002A0001"/>
    <w:rsid w:val="002A067B"/>
    <w:rsid w:val="002A0E2D"/>
    <w:rsid w:val="002A18F0"/>
    <w:rsid w:val="002A22B8"/>
    <w:rsid w:val="002A360D"/>
    <w:rsid w:val="002A41D1"/>
    <w:rsid w:val="002A4C4B"/>
    <w:rsid w:val="002A4FA4"/>
    <w:rsid w:val="002A565B"/>
    <w:rsid w:val="002A5E2F"/>
    <w:rsid w:val="002A624E"/>
    <w:rsid w:val="002A7652"/>
    <w:rsid w:val="002A76F7"/>
    <w:rsid w:val="002B213D"/>
    <w:rsid w:val="002B2463"/>
    <w:rsid w:val="002B2C90"/>
    <w:rsid w:val="002B41A1"/>
    <w:rsid w:val="002B475C"/>
    <w:rsid w:val="002B49A0"/>
    <w:rsid w:val="002B49C1"/>
    <w:rsid w:val="002B4F13"/>
    <w:rsid w:val="002B52ED"/>
    <w:rsid w:val="002B6089"/>
    <w:rsid w:val="002B62D2"/>
    <w:rsid w:val="002B6379"/>
    <w:rsid w:val="002B6516"/>
    <w:rsid w:val="002B673E"/>
    <w:rsid w:val="002B6B86"/>
    <w:rsid w:val="002B7D5B"/>
    <w:rsid w:val="002C10A4"/>
    <w:rsid w:val="002C1CB5"/>
    <w:rsid w:val="002C20F1"/>
    <w:rsid w:val="002C32E7"/>
    <w:rsid w:val="002C331A"/>
    <w:rsid w:val="002C3580"/>
    <w:rsid w:val="002C392A"/>
    <w:rsid w:val="002C3F01"/>
    <w:rsid w:val="002C4BBE"/>
    <w:rsid w:val="002C4CFF"/>
    <w:rsid w:val="002C4FC7"/>
    <w:rsid w:val="002C57E0"/>
    <w:rsid w:val="002C5A0C"/>
    <w:rsid w:val="002C5DAE"/>
    <w:rsid w:val="002C628B"/>
    <w:rsid w:val="002C68AC"/>
    <w:rsid w:val="002C6D37"/>
    <w:rsid w:val="002C76E6"/>
    <w:rsid w:val="002D0B03"/>
    <w:rsid w:val="002D16D2"/>
    <w:rsid w:val="002D23F1"/>
    <w:rsid w:val="002D28DD"/>
    <w:rsid w:val="002D2A44"/>
    <w:rsid w:val="002D3B2D"/>
    <w:rsid w:val="002D4CA4"/>
    <w:rsid w:val="002D4CF4"/>
    <w:rsid w:val="002D513B"/>
    <w:rsid w:val="002D53C9"/>
    <w:rsid w:val="002D5642"/>
    <w:rsid w:val="002D68ED"/>
    <w:rsid w:val="002D7BB5"/>
    <w:rsid w:val="002E02F7"/>
    <w:rsid w:val="002E1392"/>
    <w:rsid w:val="002E15DB"/>
    <w:rsid w:val="002E1841"/>
    <w:rsid w:val="002E18C3"/>
    <w:rsid w:val="002E2E8B"/>
    <w:rsid w:val="002E3D47"/>
    <w:rsid w:val="002E3EB2"/>
    <w:rsid w:val="002E4060"/>
    <w:rsid w:val="002E46F0"/>
    <w:rsid w:val="002E47B7"/>
    <w:rsid w:val="002E484A"/>
    <w:rsid w:val="002E4BE3"/>
    <w:rsid w:val="002E5312"/>
    <w:rsid w:val="002E5694"/>
    <w:rsid w:val="002E6622"/>
    <w:rsid w:val="002E7F2A"/>
    <w:rsid w:val="002F0C8A"/>
    <w:rsid w:val="002F1D84"/>
    <w:rsid w:val="002F260C"/>
    <w:rsid w:val="002F270E"/>
    <w:rsid w:val="002F2AC7"/>
    <w:rsid w:val="002F376A"/>
    <w:rsid w:val="002F3AF8"/>
    <w:rsid w:val="002F3CB5"/>
    <w:rsid w:val="002F5073"/>
    <w:rsid w:val="002F5534"/>
    <w:rsid w:val="002F576D"/>
    <w:rsid w:val="002F57F0"/>
    <w:rsid w:val="002F5AE3"/>
    <w:rsid w:val="002F5B5C"/>
    <w:rsid w:val="002F6937"/>
    <w:rsid w:val="002F79DF"/>
    <w:rsid w:val="002F7ADF"/>
    <w:rsid w:val="00300530"/>
    <w:rsid w:val="0030082A"/>
    <w:rsid w:val="00300994"/>
    <w:rsid w:val="00301CB6"/>
    <w:rsid w:val="003021C4"/>
    <w:rsid w:val="00302254"/>
    <w:rsid w:val="00303097"/>
    <w:rsid w:val="0030381B"/>
    <w:rsid w:val="0030382B"/>
    <w:rsid w:val="00303F2E"/>
    <w:rsid w:val="00304008"/>
    <w:rsid w:val="0030541D"/>
    <w:rsid w:val="00305572"/>
    <w:rsid w:val="00305749"/>
    <w:rsid w:val="0030586C"/>
    <w:rsid w:val="00306381"/>
    <w:rsid w:val="00306B4E"/>
    <w:rsid w:val="00306BAB"/>
    <w:rsid w:val="00306CCF"/>
    <w:rsid w:val="00307379"/>
    <w:rsid w:val="003074BC"/>
    <w:rsid w:val="00307766"/>
    <w:rsid w:val="003079AD"/>
    <w:rsid w:val="00307B87"/>
    <w:rsid w:val="003102BD"/>
    <w:rsid w:val="00311C6D"/>
    <w:rsid w:val="0031281D"/>
    <w:rsid w:val="00312A66"/>
    <w:rsid w:val="0031343D"/>
    <w:rsid w:val="0031374E"/>
    <w:rsid w:val="00313EA4"/>
    <w:rsid w:val="0031410B"/>
    <w:rsid w:val="00315046"/>
    <w:rsid w:val="00315563"/>
    <w:rsid w:val="003157DF"/>
    <w:rsid w:val="00315FF9"/>
    <w:rsid w:val="00317CAA"/>
    <w:rsid w:val="003211EB"/>
    <w:rsid w:val="0032130A"/>
    <w:rsid w:val="003217EB"/>
    <w:rsid w:val="003232E7"/>
    <w:rsid w:val="0032349E"/>
    <w:rsid w:val="00323A63"/>
    <w:rsid w:val="003247D5"/>
    <w:rsid w:val="00326792"/>
    <w:rsid w:val="00326F31"/>
    <w:rsid w:val="003278B7"/>
    <w:rsid w:val="003308A5"/>
    <w:rsid w:val="003308C6"/>
    <w:rsid w:val="00330AAF"/>
    <w:rsid w:val="0033111E"/>
    <w:rsid w:val="00331602"/>
    <w:rsid w:val="00331768"/>
    <w:rsid w:val="00331941"/>
    <w:rsid w:val="00331C9A"/>
    <w:rsid w:val="003331A0"/>
    <w:rsid w:val="0033386B"/>
    <w:rsid w:val="003338DD"/>
    <w:rsid w:val="00333949"/>
    <w:rsid w:val="00333BB1"/>
    <w:rsid w:val="00333BEC"/>
    <w:rsid w:val="00334682"/>
    <w:rsid w:val="00334CD3"/>
    <w:rsid w:val="00335033"/>
    <w:rsid w:val="003357FD"/>
    <w:rsid w:val="003374D4"/>
    <w:rsid w:val="00337513"/>
    <w:rsid w:val="00337B48"/>
    <w:rsid w:val="00337F77"/>
    <w:rsid w:val="00340084"/>
    <w:rsid w:val="0034070D"/>
    <w:rsid w:val="0034109D"/>
    <w:rsid w:val="00341391"/>
    <w:rsid w:val="003427BD"/>
    <w:rsid w:val="00342ACB"/>
    <w:rsid w:val="0034323B"/>
    <w:rsid w:val="00344F51"/>
    <w:rsid w:val="003456FC"/>
    <w:rsid w:val="0034581E"/>
    <w:rsid w:val="00345879"/>
    <w:rsid w:val="00345DD4"/>
    <w:rsid w:val="00346BD4"/>
    <w:rsid w:val="00347595"/>
    <w:rsid w:val="0034799A"/>
    <w:rsid w:val="0035164E"/>
    <w:rsid w:val="00352DF5"/>
    <w:rsid w:val="0035316E"/>
    <w:rsid w:val="00353BC7"/>
    <w:rsid w:val="0035579E"/>
    <w:rsid w:val="003565EE"/>
    <w:rsid w:val="003574A8"/>
    <w:rsid w:val="00357E55"/>
    <w:rsid w:val="00357EA1"/>
    <w:rsid w:val="003605CD"/>
    <w:rsid w:val="0036063E"/>
    <w:rsid w:val="00360A07"/>
    <w:rsid w:val="0036171A"/>
    <w:rsid w:val="00362291"/>
    <w:rsid w:val="003627DC"/>
    <w:rsid w:val="0036282D"/>
    <w:rsid w:val="00362899"/>
    <w:rsid w:val="00362AC0"/>
    <w:rsid w:val="00363727"/>
    <w:rsid w:val="003654FD"/>
    <w:rsid w:val="003656E2"/>
    <w:rsid w:val="003657FA"/>
    <w:rsid w:val="00365A4A"/>
    <w:rsid w:val="00370CDD"/>
    <w:rsid w:val="003717F3"/>
    <w:rsid w:val="00372134"/>
    <w:rsid w:val="003736E8"/>
    <w:rsid w:val="00373CD5"/>
    <w:rsid w:val="00373EC7"/>
    <w:rsid w:val="00373F3A"/>
    <w:rsid w:val="00375042"/>
    <w:rsid w:val="00375252"/>
    <w:rsid w:val="003761BA"/>
    <w:rsid w:val="0037723B"/>
    <w:rsid w:val="00377C27"/>
    <w:rsid w:val="00381288"/>
    <w:rsid w:val="00381B8C"/>
    <w:rsid w:val="003827A6"/>
    <w:rsid w:val="00382972"/>
    <w:rsid w:val="00383CDB"/>
    <w:rsid w:val="0038456B"/>
    <w:rsid w:val="00384D8F"/>
    <w:rsid w:val="00384E42"/>
    <w:rsid w:val="00385ADF"/>
    <w:rsid w:val="00385B2D"/>
    <w:rsid w:val="0038672B"/>
    <w:rsid w:val="00386E3F"/>
    <w:rsid w:val="003870DD"/>
    <w:rsid w:val="003872AD"/>
    <w:rsid w:val="003908D8"/>
    <w:rsid w:val="003909BB"/>
    <w:rsid w:val="0039159D"/>
    <w:rsid w:val="00393601"/>
    <w:rsid w:val="00393AEE"/>
    <w:rsid w:val="003948BE"/>
    <w:rsid w:val="00394A75"/>
    <w:rsid w:val="0039511F"/>
    <w:rsid w:val="0039564E"/>
    <w:rsid w:val="00396399"/>
    <w:rsid w:val="00396630"/>
    <w:rsid w:val="00396E36"/>
    <w:rsid w:val="003979AE"/>
    <w:rsid w:val="003A0224"/>
    <w:rsid w:val="003A0DAC"/>
    <w:rsid w:val="003A12E6"/>
    <w:rsid w:val="003A1842"/>
    <w:rsid w:val="003A1D97"/>
    <w:rsid w:val="003A23AF"/>
    <w:rsid w:val="003A3BDE"/>
    <w:rsid w:val="003A3F83"/>
    <w:rsid w:val="003A42FB"/>
    <w:rsid w:val="003A4E08"/>
    <w:rsid w:val="003A5874"/>
    <w:rsid w:val="003A5E3B"/>
    <w:rsid w:val="003A6092"/>
    <w:rsid w:val="003A61BF"/>
    <w:rsid w:val="003A6537"/>
    <w:rsid w:val="003A65F6"/>
    <w:rsid w:val="003A79E2"/>
    <w:rsid w:val="003A7AE2"/>
    <w:rsid w:val="003B0A06"/>
    <w:rsid w:val="003B0A51"/>
    <w:rsid w:val="003B0F09"/>
    <w:rsid w:val="003B15CD"/>
    <w:rsid w:val="003B193A"/>
    <w:rsid w:val="003B1BEB"/>
    <w:rsid w:val="003B247B"/>
    <w:rsid w:val="003B37A2"/>
    <w:rsid w:val="003B4D1C"/>
    <w:rsid w:val="003B51E6"/>
    <w:rsid w:val="003B53EA"/>
    <w:rsid w:val="003B54BE"/>
    <w:rsid w:val="003B6558"/>
    <w:rsid w:val="003B6619"/>
    <w:rsid w:val="003B669C"/>
    <w:rsid w:val="003B6F69"/>
    <w:rsid w:val="003B781D"/>
    <w:rsid w:val="003B785A"/>
    <w:rsid w:val="003B78ED"/>
    <w:rsid w:val="003C000C"/>
    <w:rsid w:val="003C02E1"/>
    <w:rsid w:val="003C035F"/>
    <w:rsid w:val="003C0656"/>
    <w:rsid w:val="003C0777"/>
    <w:rsid w:val="003C08EA"/>
    <w:rsid w:val="003C1ED6"/>
    <w:rsid w:val="003C2D56"/>
    <w:rsid w:val="003C2FC4"/>
    <w:rsid w:val="003C5273"/>
    <w:rsid w:val="003C6229"/>
    <w:rsid w:val="003D0616"/>
    <w:rsid w:val="003D0C4D"/>
    <w:rsid w:val="003D141C"/>
    <w:rsid w:val="003D1661"/>
    <w:rsid w:val="003D1DBD"/>
    <w:rsid w:val="003D22DB"/>
    <w:rsid w:val="003D2320"/>
    <w:rsid w:val="003D3571"/>
    <w:rsid w:val="003D3D6F"/>
    <w:rsid w:val="003D4D5B"/>
    <w:rsid w:val="003D4E9D"/>
    <w:rsid w:val="003D50C5"/>
    <w:rsid w:val="003D52C5"/>
    <w:rsid w:val="003D53C6"/>
    <w:rsid w:val="003D59A8"/>
    <w:rsid w:val="003D5C9E"/>
    <w:rsid w:val="003D5CA6"/>
    <w:rsid w:val="003D6E34"/>
    <w:rsid w:val="003D758D"/>
    <w:rsid w:val="003D778A"/>
    <w:rsid w:val="003E070B"/>
    <w:rsid w:val="003E17DF"/>
    <w:rsid w:val="003E1B46"/>
    <w:rsid w:val="003E1DEB"/>
    <w:rsid w:val="003E1EE8"/>
    <w:rsid w:val="003E24FD"/>
    <w:rsid w:val="003E29E9"/>
    <w:rsid w:val="003E3645"/>
    <w:rsid w:val="003E3CFB"/>
    <w:rsid w:val="003E5175"/>
    <w:rsid w:val="003E56BC"/>
    <w:rsid w:val="003E5754"/>
    <w:rsid w:val="003E6B35"/>
    <w:rsid w:val="003E7020"/>
    <w:rsid w:val="003E71C8"/>
    <w:rsid w:val="003E7C93"/>
    <w:rsid w:val="003E7E84"/>
    <w:rsid w:val="003F26E4"/>
    <w:rsid w:val="003F2947"/>
    <w:rsid w:val="003F2A79"/>
    <w:rsid w:val="003F2E88"/>
    <w:rsid w:val="003F34FB"/>
    <w:rsid w:val="003F3A23"/>
    <w:rsid w:val="003F3DF7"/>
    <w:rsid w:val="003F3E21"/>
    <w:rsid w:val="003F4AB8"/>
    <w:rsid w:val="003F692C"/>
    <w:rsid w:val="003F6C3E"/>
    <w:rsid w:val="003F7CF0"/>
    <w:rsid w:val="0040012B"/>
    <w:rsid w:val="0040082D"/>
    <w:rsid w:val="00400D8F"/>
    <w:rsid w:val="00400DAB"/>
    <w:rsid w:val="004010C0"/>
    <w:rsid w:val="00401A38"/>
    <w:rsid w:val="00401EE2"/>
    <w:rsid w:val="00403140"/>
    <w:rsid w:val="0040398D"/>
    <w:rsid w:val="00403CC1"/>
    <w:rsid w:val="00403F88"/>
    <w:rsid w:val="00403FBC"/>
    <w:rsid w:val="00404424"/>
    <w:rsid w:val="00404752"/>
    <w:rsid w:val="004052A2"/>
    <w:rsid w:val="00405B12"/>
    <w:rsid w:val="00405DFD"/>
    <w:rsid w:val="00406609"/>
    <w:rsid w:val="0040679B"/>
    <w:rsid w:val="00407161"/>
    <w:rsid w:val="00407F78"/>
    <w:rsid w:val="00410692"/>
    <w:rsid w:val="0041086A"/>
    <w:rsid w:val="00410B22"/>
    <w:rsid w:val="00410E76"/>
    <w:rsid w:val="00411B33"/>
    <w:rsid w:val="0041242C"/>
    <w:rsid w:val="00412ABB"/>
    <w:rsid w:val="004132E0"/>
    <w:rsid w:val="00413BE7"/>
    <w:rsid w:val="00413EF7"/>
    <w:rsid w:val="004141F2"/>
    <w:rsid w:val="0041440D"/>
    <w:rsid w:val="00414C32"/>
    <w:rsid w:val="00414D1F"/>
    <w:rsid w:val="0041533B"/>
    <w:rsid w:val="00415476"/>
    <w:rsid w:val="00415ED2"/>
    <w:rsid w:val="00415F0B"/>
    <w:rsid w:val="00416392"/>
    <w:rsid w:val="00416472"/>
    <w:rsid w:val="00417E28"/>
    <w:rsid w:val="0042062F"/>
    <w:rsid w:val="00421E79"/>
    <w:rsid w:val="00423F25"/>
    <w:rsid w:val="00425500"/>
    <w:rsid w:val="00425F0F"/>
    <w:rsid w:val="00426306"/>
    <w:rsid w:val="00426540"/>
    <w:rsid w:val="00426698"/>
    <w:rsid w:val="00426AAA"/>
    <w:rsid w:val="00427182"/>
    <w:rsid w:val="00427423"/>
    <w:rsid w:val="004276EE"/>
    <w:rsid w:val="00430502"/>
    <w:rsid w:val="00430F4D"/>
    <w:rsid w:val="0043108E"/>
    <w:rsid w:val="004323C3"/>
    <w:rsid w:val="0043247F"/>
    <w:rsid w:val="00432821"/>
    <w:rsid w:val="00432994"/>
    <w:rsid w:val="0043346F"/>
    <w:rsid w:val="00433C09"/>
    <w:rsid w:val="00435EAB"/>
    <w:rsid w:val="004360FD"/>
    <w:rsid w:val="0044045E"/>
    <w:rsid w:val="00440652"/>
    <w:rsid w:val="00440895"/>
    <w:rsid w:val="00441485"/>
    <w:rsid w:val="0044189F"/>
    <w:rsid w:val="004421AA"/>
    <w:rsid w:val="00442D5A"/>
    <w:rsid w:val="00443FEF"/>
    <w:rsid w:val="004440BD"/>
    <w:rsid w:val="004442BE"/>
    <w:rsid w:val="0044446C"/>
    <w:rsid w:val="004448D4"/>
    <w:rsid w:val="0044521A"/>
    <w:rsid w:val="00445968"/>
    <w:rsid w:val="00446202"/>
    <w:rsid w:val="004467DD"/>
    <w:rsid w:val="00447F40"/>
    <w:rsid w:val="0045028F"/>
    <w:rsid w:val="004507B1"/>
    <w:rsid w:val="00450B82"/>
    <w:rsid w:val="0045110D"/>
    <w:rsid w:val="00451B9E"/>
    <w:rsid w:val="00452618"/>
    <w:rsid w:val="00452762"/>
    <w:rsid w:val="00453188"/>
    <w:rsid w:val="00453A42"/>
    <w:rsid w:val="004541ED"/>
    <w:rsid w:val="0045474E"/>
    <w:rsid w:val="004548FF"/>
    <w:rsid w:val="00454D0E"/>
    <w:rsid w:val="0045619B"/>
    <w:rsid w:val="004576B3"/>
    <w:rsid w:val="00460342"/>
    <w:rsid w:val="0046060C"/>
    <w:rsid w:val="0046141D"/>
    <w:rsid w:val="0046278C"/>
    <w:rsid w:val="00462A34"/>
    <w:rsid w:val="00462E80"/>
    <w:rsid w:val="00464012"/>
    <w:rsid w:val="00464267"/>
    <w:rsid w:val="00464626"/>
    <w:rsid w:val="004647ED"/>
    <w:rsid w:val="00464C5B"/>
    <w:rsid w:val="00464C8D"/>
    <w:rsid w:val="00465D9C"/>
    <w:rsid w:val="00466468"/>
    <w:rsid w:val="00467011"/>
    <w:rsid w:val="00467190"/>
    <w:rsid w:val="00467519"/>
    <w:rsid w:val="004675F7"/>
    <w:rsid w:val="00467DF3"/>
    <w:rsid w:val="00467EBE"/>
    <w:rsid w:val="004701D1"/>
    <w:rsid w:val="00470D14"/>
    <w:rsid w:val="004717C1"/>
    <w:rsid w:val="00471CEC"/>
    <w:rsid w:val="00472380"/>
    <w:rsid w:val="004725C7"/>
    <w:rsid w:val="004727C1"/>
    <w:rsid w:val="00473222"/>
    <w:rsid w:val="00473A67"/>
    <w:rsid w:val="00473C9D"/>
    <w:rsid w:val="00473E7B"/>
    <w:rsid w:val="0047459E"/>
    <w:rsid w:val="00475BD5"/>
    <w:rsid w:val="004760D2"/>
    <w:rsid w:val="00476344"/>
    <w:rsid w:val="00476D68"/>
    <w:rsid w:val="00477C7D"/>
    <w:rsid w:val="00477F13"/>
    <w:rsid w:val="00480634"/>
    <w:rsid w:val="00480D3A"/>
    <w:rsid w:val="0048284F"/>
    <w:rsid w:val="00482CDA"/>
    <w:rsid w:val="00482FCF"/>
    <w:rsid w:val="00483677"/>
    <w:rsid w:val="00483B72"/>
    <w:rsid w:val="004842FA"/>
    <w:rsid w:val="004848D4"/>
    <w:rsid w:val="00487918"/>
    <w:rsid w:val="004917B3"/>
    <w:rsid w:val="004919EA"/>
    <w:rsid w:val="004921A5"/>
    <w:rsid w:val="00492CB4"/>
    <w:rsid w:val="00492E69"/>
    <w:rsid w:val="004936F1"/>
    <w:rsid w:val="00493D64"/>
    <w:rsid w:val="004942E3"/>
    <w:rsid w:val="0049432C"/>
    <w:rsid w:val="0049446D"/>
    <w:rsid w:val="004944D2"/>
    <w:rsid w:val="00494FE5"/>
    <w:rsid w:val="004950D8"/>
    <w:rsid w:val="00495C42"/>
    <w:rsid w:val="00496232"/>
    <w:rsid w:val="004962DE"/>
    <w:rsid w:val="0049692F"/>
    <w:rsid w:val="00497D1B"/>
    <w:rsid w:val="004A1B1E"/>
    <w:rsid w:val="004A2480"/>
    <w:rsid w:val="004A27E7"/>
    <w:rsid w:val="004A2C40"/>
    <w:rsid w:val="004A3018"/>
    <w:rsid w:val="004A36D3"/>
    <w:rsid w:val="004A3C06"/>
    <w:rsid w:val="004A524A"/>
    <w:rsid w:val="004A63CE"/>
    <w:rsid w:val="004A6B8F"/>
    <w:rsid w:val="004A7BA7"/>
    <w:rsid w:val="004A7F0E"/>
    <w:rsid w:val="004B04C3"/>
    <w:rsid w:val="004B093C"/>
    <w:rsid w:val="004B0A9E"/>
    <w:rsid w:val="004B0B85"/>
    <w:rsid w:val="004B0CDF"/>
    <w:rsid w:val="004B19E7"/>
    <w:rsid w:val="004B2973"/>
    <w:rsid w:val="004B2C27"/>
    <w:rsid w:val="004B320B"/>
    <w:rsid w:val="004B389B"/>
    <w:rsid w:val="004B4307"/>
    <w:rsid w:val="004B53AF"/>
    <w:rsid w:val="004B5403"/>
    <w:rsid w:val="004B56B9"/>
    <w:rsid w:val="004B5961"/>
    <w:rsid w:val="004B7395"/>
    <w:rsid w:val="004B7749"/>
    <w:rsid w:val="004B7AB5"/>
    <w:rsid w:val="004C056D"/>
    <w:rsid w:val="004C0597"/>
    <w:rsid w:val="004C168F"/>
    <w:rsid w:val="004C16BF"/>
    <w:rsid w:val="004C1E39"/>
    <w:rsid w:val="004C2BA4"/>
    <w:rsid w:val="004C2CB9"/>
    <w:rsid w:val="004C2FBB"/>
    <w:rsid w:val="004C31D1"/>
    <w:rsid w:val="004C335A"/>
    <w:rsid w:val="004C3C02"/>
    <w:rsid w:val="004C3EB5"/>
    <w:rsid w:val="004C4878"/>
    <w:rsid w:val="004C4EB7"/>
    <w:rsid w:val="004C50A5"/>
    <w:rsid w:val="004C56CB"/>
    <w:rsid w:val="004C5DA1"/>
    <w:rsid w:val="004C7188"/>
    <w:rsid w:val="004C7D6F"/>
    <w:rsid w:val="004D1AD1"/>
    <w:rsid w:val="004D2717"/>
    <w:rsid w:val="004D28B1"/>
    <w:rsid w:val="004D2ABE"/>
    <w:rsid w:val="004D2DD8"/>
    <w:rsid w:val="004D3553"/>
    <w:rsid w:val="004D379D"/>
    <w:rsid w:val="004D3840"/>
    <w:rsid w:val="004D3DEC"/>
    <w:rsid w:val="004D3EC7"/>
    <w:rsid w:val="004D538A"/>
    <w:rsid w:val="004D6F36"/>
    <w:rsid w:val="004E1609"/>
    <w:rsid w:val="004E1B0E"/>
    <w:rsid w:val="004E2161"/>
    <w:rsid w:val="004E29E8"/>
    <w:rsid w:val="004E3487"/>
    <w:rsid w:val="004E3CE3"/>
    <w:rsid w:val="004E3E9F"/>
    <w:rsid w:val="004E5569"/>
    <w:rsid w:val="004E5874"/>
    <w:rsid w:val="004E6331"/>
    <w:rsid w:val="004E66F2"/>
    <w:rsid w:val="004E6F27"/>
    <w:rsid w:val="004E782F"/>
    <w:rsid w:val="004F036A"/>
    <w:rsid w:val="004F1073"/>
    <w:rsid w:val="004F10E5"/>
    <w:rsid w:val="004F1801"/>
    <w:rsid w:val="004F18F9"/>
    <w:rsid w:val="004F2191"/>
    <w:rsid w:val="004F3943"/>
    <w:rsid w:val="004F3D21"/>
    <w:rsid w:val="004F3D65"/>
    <w:rsid w:val="004F3DAC"/>
    <w:rsid w:val="004F40EF"/>
    <w:rsid w:val="004F4CCA"/>
    <w:rsid w:val="004F5F5F"/>
    <w:rsid w:val="004F647B"/>
    <w:rsid w:val="00500429"/>
    <w:rsid w:val="0050097D"/>
    <w:rsid w:val="00500B95"/>
    <w:rsid w:val="00501CB6"/>
    <w:rsid w:val="00503EC4"/>
    <w:rsid w:val="00504F50"/>
    <w:rsid w:val="005067FB"/>
    <w:rsid w:val="005073C6"/>
    <w:rsid w:val="00507647"/>
    <w:rsid w:val="005104C5"/>
    <w:rsid w:val="00510BDA"/>
    <w:rsid w:val="00510C95"/>
    <w:rsid w:val="00512DB0"/>
    <w:rsid w:val="0051346D"/>
    <w:rsid w:val="00513D03"/>
    <w:rsid w:val="00513F86"/>
    <w:rsid w:val="00514F07"/>
    <w:rsid w:val="005150FA"/>
    <w:rsid w:val="0051586F"/>
    <w:rsid w:val="00515C84"/>
    <w:rsid w:val="00516F27"/>
    <w:rsid w:val="005177C5"/>
    <w:rsid w:val="0051790A"/>
    <w:rsid w:val="00517F39"/>
    <w:rsid w:val="00522288"/>
    <w:rsid w:val="00522625"/>
    <w:rsid w:val="00522834"/>
    <w:rsid w:val="00522D9B"/>
    <w:rsid w:val="00523156"/>
    <w:rsid w:val="00523F3A"/>
    <w:rsid w:val="00523FF0"/>
    <w:rsid w:val="0052454D"/>
    <w:rsid w:val="005245BB"/>
    <w:rsid w:val="00524786"/>
    <w:rsid w:val="0052521C"/>
    <w:rsid w:val="005263C8"/>
    <w:rsid w:val="005268A3"/>
    <w:rsid w:val="00526D65"/>
    <w:rsid w:val="00527D04"/>
    <w:rsid w:val="005304CC"/>
    <w:rsid w:val="00530C93"/>
    <w:rsid w:val="005317A4"/>
    <w:rsid w:val="005317DC"/>
    <w:rsid w:val="0053233E"/>
    <w:rsid w:val="00533932"/>
    <w:rsid w:val="005353B8"/>
    <w:rsid w:val="00535684"/>
    <w:rsid w:val="005359F6"/>
    <w:rsid w:val="00535E2D"/>
    <w:rsid w:val="00536A6E"/>
    <w:rsid w:val="00536B3B"/>
    <w:rsid w:val="0053751C"/>
    <w:rsid w:val="00540B04"/>
    <w:rsid w:val="0054252B"/>
    <w:rsid w:val="0054309C"/>
    <w:rsid w:val="005430AB"/>
    <w:rsid w:val="00543AAA"/>
    <w:rsid w:val="00543B1B"/>
    <w:rsid w:val="00543E03"/>
    <w:rsid w:val="005449CF"/>
    <w:rsid w:val="00545353"/>
    <w:rsid w:val="0054556B"/>
    <w:rsid w:val="00545F85"/>
    <w:rsid w:val="005460FB"/>
    <w:rsid w:val="00546312"/>
    <w:rsid w:val="005468D8"/>
    <w:rsid w:val="00546BC9"/>
    <w:rsid w:val="00546BE0"/>
    <w:rsid w:val="00546F20"/>
    <w:rsid w:val="0054788C"/>
    <w:rsid w:val="00550039"/>
    <w:rsid w:val="005507B5"/>
    <w:rsid w:val="00550ABA"/>
    <w:rsid w:val="00550EE0"/>
    <w:rsid w:val="00551BEF"/>
    <w:rsid w:val="005521B5"/>
    <w:rsid w:val="00552507"/>
    <w:rsid w:val="00552C89"/>
    <w:rsid w:val="00553193"/>
    <w:rsid w:val="00553845"/>
    <w:rsid w:val="00554967"/>
    <w:rsid w:val="005556FC"/>
    <w:rsid w:val="00556217"/>
    <w:rsid w:val="005564EB"/>
    <w:rsid w:val="0055689E"/>
    <w:rsid w:val="00557302"/>
    <w:rsid w:val="0055764B"/>
    <w:rsid w:val="0055779C"/>
    <w:rsid w:val="00560ADD"/>
    <w:rsid w:val="00561020"/>
    <w:rsid w:val="005610BF"/>
    <w:rsid w:val="0056118F"/>
    <w:rsid w:val="005613CA"/>
    <w:rsid w:val="00561C93"/>
    <w:rsid w:val="005622D5"/>
    <w:rsid w:val="0056386B"/>
    <w:rsid w:val="00564AB7"/>
    <w:rsid w:val="00565259"/>
    <w:rsid w:val="0056528C"/>
    <w:rsid w:val="005656C0"/>
    <w:rsid w:val="00565C2D"/>
    <w:rsid w:val="00565C2F"/>
    <w:rsid w:val="005664AB"/>
    <w:rsid w:val="00566711"/>
    <w:rsid w:val="005669FA"/>
    <w:rsid w:val="00567E8D"/>
    <w:rsid w:val="0057052B"/>
    <w:rsid w:val="00570593"/>
    <w:rsid w:val="00570AAF"/>
    <w:rsid w:val="005711F4"/>
    <w:rsid w:val="005715CD"/>
    <w:rsid w:val="005725EF"/>
    <w:rsid w:val="00572829"/>
    <w:rsid w:val="005729CA"/>
    <w:rsid w:val="00572D45"/>
    <w:rsid w:val="00574C71"/>
    <w:rsid w:val="00574F74"/>
    <w:rsid w:val="00576838"/>
    <w:rsid w:val="0057686C"/>
    <w:rsid w:val="00576FA9"/>
    <w:rsid w:val="00580330"/>
    <w:rsid w:val="0058062B"/>
    <w:rsid w:val="005816FE"/>
    <w:rsid w:val="00581A4E"/>
    <w:rsid w:val="005831FD"/>
    <w:rsid w:val="00583865"/>
    <w:rsid w:val="00585728"/>
    <w:rsid w:val="00585C71"/>
    <w:rsid w:val="00586973"/>
    <w:rsid w:val="005871E5"/>
    <w:rsid w:val="00587D3C"/>
    <w:rsid w:val="00587D6D"/>
    <w:rsid w:val="00590076"/>
    <w:rsid w:val="005904D8"/>
    <w:rsid w:val="005905CF"/>
    <w:rsid w:val="00590B2C"/>
    <w:rsid w:val="00590D8B"/>
    <w:rsid w:val="00591404"/>
    <w:rsid w:val="00591555"/>
    <w:rsid w:val="00591911"/>
    <w:rsid w:val="00591C9D"/>
    <w:rsid w:val="00591FDA"/>
    <w:rsid w:val="0059260F"/>
    <w:rsid w:val="00592A9A"/>
    <w:rsid w:val="00592C0F"/>
    <w:rsid w:val="00592D0F"/>
    <w:rsid w:val="005938A6"/>
    <w:rsid w:val="00593EAA"/>
    <w:rsid w:val="00594C85"/>
    <w:rsid w:val="00594C90"/>
    <w:rsid w:val="0059549C"/>
    <w:rsid w:val="00595745"/>
    <w:rsid w:val="00595945"/>
    <w:rsid w:val="0059609F"/>
    <w:rsid w:val="0059681A"/>
    <w:rsid w:val="0059691C"/>
    <w:rsid w:val="005A042E"/>
    <w:rsid w:val="005A1316"/>
    <w:rsid w:val="005A1596"/>
    <w:rsid w:val="005A18F9"/>
    <w:rsid w:val="005A1C76"/>
    <w:rsid w:val="005A343E"/>
    <w:rsid w:val="005A36C1"/>
    <w:rsid w:val="005A3E2D"/>
    <w:rsid w:val="005A4713"/>
    <w:rsid w:val="005A485F"/>
    <w:rsid w:val="005A7B47"/>
    <w:rsid w:val="005A7DE0"/>
    <w:rsid w:val="005A7E74"/>
    <w:rsid w:val="005B06F5"/>
    <w:rsid w:val="005B1464"/>
    <w:rsid w:val="005B1F2B"/>
    <w:rsid w:val="005B1FFB"/>
    <w:rsid w:val="005B2275"/>
    <w:rsid w:val="005B26DB"/>
    <w:rsid w:val="005B2A09"/>
    <w:rsid w:val="005B3B07"/>
    <w:rsid w:val="005B3D42"/>
    <w:rsid w:val="005B442D"/>
    <w:rsid w:val="005B458B"/>
    <w:rsid w:val="005B45CC"/>
    <w:rsid w:val="005B5D1C"/>
    <w:rsid w:val="005B5F17"/>
    <w:rsid w:val="005B6B63"/>
    <w:rsid w:val="005B6C8B"/>
    <w:rsid w:val="005B6D39"/>
    <w:rsid w:val="005B70B8"/>
    <w:rsid w:val="005B7E53"/>
    <w:rsid w:val="005C12BE"/>
    <w:rsid w:val="005C1BC1"/>
    <w:rsid w:val="005C1D7E"/>
    <w:rsid w:val="005C1F1D"/>
    <w:rsid w:val="005C2114"/>
    <w:rsid w:val="005C2847"/>
    <w:rsid w:val="005C341D"/>
    <w:rsid w:val="005C3F61"/>
    <w:rsid w:val="005C4BE4"/>
    <w:rsid w:val="005C6B56"/>
    <w:rsid w:val="005C779E"/>
    <w:rsid w:val="005C79AE"/>
    <w:rsid w:val="005C7D8E"/>
    <w:rsid w:val="005C7F80"/>
    <w:rsid w:val="005D045A"/>
    <w:rsid w:val="005D1134"/>
    <w:rsid w:val="005D2245"/>
    <w:rsid w:val="005D2903"/>
    <w:rsid w:val="005D32B8"/>
    <w:rsid w:val="005D3334"/>
    <w:rsid w:val="005D37FC"/>
    <w:rsid w:val="005D385A"/>
    <w:rsid w:val="005D433C"/>
    <w:rsid w:val="005D48E9"/>
    <w:rsid w:val="005D4B37"/>
    <w:rsid w:val="005D4DE6"/>
    <w:rsid w:val="005D52A1"/>
    <w:rsid w:val="005D5A56"/>
    <w:rsid w:val="005D5A6C"/>
    <w:rsid w:val="005D6200"/>
    <w:rsid w:val="005D657B"/>
    <w:rsid w:val="005D65B1"/>
    <w:rsid w:val="005D69C0"/>
    <w:rsid w:val="005D74A1"/>
    <w:rsid w:val="005E118D"/>
    <w:rsid w:val="005E1BAF"/>
    <w:rsid w:val="005E2130"/>
    <w:rsid w:val="005E36FB"/>
    <w:rsid w:val="005E38E9"/>
    <w:rsid w:val="005E3A60"/>
    <w:rsid w:val="005E4315"/>
    <w:rsid w:val="005E5621"/>
    <w:rsid w:val="005E6964"/>
    <w:rsid w:val="005E7330"/>
    <w:rsid w:val="005E7BEE"/>
    <w:rsid w:val="005F0010"/>
    <w:rsid w:val="005F03DE"/>
    <w:rsid w:val="005F05EE"/>
    <w:rsid w:val="005F0BF3"/>
    <w:rsid w:val="005F152C"/>
    <w:rsid w:val="005F15E8"/>
    <w:rsid w:val="005F2584"/>
    <w:rsid w:val="005F2DF2"/>
    <w:rsid w:val="005F3571"/>
    <w:rsid w:val="005F4797"/>
    <w:rsid w:val="005F483E"/>
    <w:rsid w:val="005F4D3D"/>
    <w:rsid w:val="005F50BC"/>
    <w:rsid w:val="005F600F"/>
    <w:rsid w:val="005F6D35"/>
    <w:rsid w:val="005F6FA5"/>
    <w:rsid w:val="005F714F"/>
    <w:rsid w:val="005F7566"/>
    <w:rsid w:val="005F7E0F"/>
    <w:rsid w:val="00600E0F"/>
    <w:rsid w:val="006015F4"/>
    <w:rsid w:val="00601A89"/>
    <w:rsid w:val="006021D2"/>
    <w:rsid w:val="00602416"/>
    <w:rsid w:val="00602697"/>
    <w:rsid w:val="006036A2"/>
    <w:rsid w:val="006040A8"/>
    <w:rsid w:val="00604D86"/>
    <w:rsid w:val="00604F80"/>
    <w:rsid w:val="0060534C"/>
    <w:rsid w:val="00606462"/>
    <w:rsid w:val="00606650"/>
    <w:rsid w:val="006113B2"/>
    <w:rsid w:val="0061166E"/>
    <w:rsid w:val="0061266D"/>
    <w:rsid w:val="006137E8"/>
    <w:rsid w:val="006137F0"/>
    <w:rsid w:val="00614689"/>
    <w:rsid w:val="00614B64"/>
    <w:rsid w:val="00614B89"/>
    <w:rsid w:val="0061542D"/>
    <w:rsid w:val="0061567C"/>
    <w:rsid w:val="00615997"/>
    <w:rsid w:val="006159FB"/>
    <w:rsid w:val="0061633C"/>
    <w:rsid w:val="00616F09"/>
    <w:rsid w:val="00617A35"/>
    <w:rsid w:val="00617CB1"/>
    <w:rsid w:val="006202B5"/>
    <w:rsid w:val="00620502"/>
    <w:rsid w:val="00620B5F"/>
    <w:rsid w:val="00621CEE"/>
    <w:rsid w:val="0062252A"/>
    <w:rsid w:val="0062258F"/>
    <w:rsid w:val="006227DD"/>
    <w:rsid w:val="00622E97"/>
    <w:rsid w:val="00623069"/>
    <w:rsid w:val="0062449C"/>
    <w:rsid w:val="00624606"/>
    <w:rsid w:val="00624EA6"/>
    <w:rsid w:val="00625EF1"/>
    <w:rsid w:val="0062608F"/>
    <w:rsid w:val="006262FD"/>
    <w:rsid w:val="00627159"/>
    <w:rsid w:val="00627995"/>
    <w:rsid w:val="006279A4"/>
    <w:rsid w:val="00630C7F"/>
    <w:rsid w:val="00631525"/>
    <w:rsid w:val="00631778"/>
    <w:rsid w:val="00631AFD"/>
    <w:rsid w:val="00632766"/>
    <w:rsid w:val="00632BAE"/>
    <w:rsid w:val="0063314B"/>
    <w:rsid w:val="00634277"/>
    <w:rsid w:val="00634FEF"/>
    <w:rsid w:val="00635B8E"/>
    <w:rsid w:val="00636255"/>
    <w:rsid w:val="006365C2"/>
    <w:rsid w:val="00636E73"/>
    <w:rsid w:val="00637565"/>
    <w:rsid w:val="00637BDD"/>
    <w:rsid w:val="00637F55"/>
    <w:rsid w:val="00640124"/>
    <w:rsid w:val="006403A0"/>
    <w:rsid w:val="00640C5D"/>
    <w:rsid w:val="006410FB"/>
    <w:rsid w:val="006415C3"/>
    <w:rsid w:val="00641796"/>
    <w:rsid w:val="00642264"/>
    <w:rsid w:val="0064232F"/>
    <w:rsid w:val="00642E93"/>
    <w:rsid w:val="00642EA7"/>
    <w:rsid w:val="006432A0"/>
    <w:rsid w:val="00643792"/>
    <w:rsid w:val="00643E84"/>
    <w:rsid w:val="006450A3"/>
    <w:rsid w:val="006453A2"/>
    <w:rsid w:val="00645BA4"/>
    <w:rsid w:val="00645CA8"/>
    <w:rsid w:val="00645CBD"/>
    <w:rsid w:val="00645D1C"/>
    <w:rsid w:val="00645F43"/>
    <w:rsid w:val="00646676"/>
    <w:rsid w:val="00647082"/>
    <w:rsid w:val="00647226"/>
    <w:rsid w:val="0064797F"/>
    <w:rsid w:val="00647A3E"/>
    <w:rsid w:val="00650EB3"/>
    <w:rsid w:val="00651AD6"/>
    <w:rsid w:val="00651CBD"/>
    <w:rsid w:val="00653D5E"/>
    <w:rsid w:val="006540AD"/>
    <w:rsid w:val="006545DB"/>
    <w:rsid w:val="0065484D"/>
    <w:rsid w:val="00655BD1"/>
    <w:rsid w:val="00656BEE"/>
    <w:rsid w:val="006572B1"/>
    <w:rsid w:val="0065759B"/>
    <w:rsid w:val="006600CE"/>
    <w:rsid w:val="00660446"/>
    <w:rsid w:val="00660AA8"/>
    <w:rsid w:val="00660B17"/>
    <w:rsid w:val="00662080"/>
    <w:rsid w:val="006634B8"/>
    <w:rsid w:val="00664981"/>
    <w:rsid w:val="00664B70"/>
    <w:rsid w:val="0066515B"/>
    <w:rsid w:val="00666096"/>
    <w:rsid w:val="006663DB"/>
    <w:rsid w:val="0066735A"/>
    <w:rsid w:val="00667942"/>
    <w:rsid w:val="00667DA3"/>
    <w:rsid w:val="006703CC"/>
    <w:rsid w:val="00670679"/>
    <w:rsid w:val="0067257C"/>
    <w:rsid w:val="00673967"/>
    <w:rsid w:val="00674605"/>
    <w:rsid w:val="00674638"/>
    <w:rsid w:val="006749AF"/>
    <w:rsid w:val="00674B82"/>
    <w:rsid w:val="00674DFE"/>
    <w:rsid w:val="00675598"/>
    <w:rsid w:val="00675C02"/>
    <w:rsid w:val="00675C9D"/>
    <w:rsid w:val="006776CE"/>
    <w:rsid w:val="00677F8F"/>
    <w:rsid w:val="006805D4"/>
    <w:rsid w:val="00681249"/>
    <w:rsid w:val="00681876"/>
    <w:rsid w:val="00682549"/>
    <w:rsid w:val="00682F9B"/>
    <w:rsid w:val="006839E2"/>
    <w:rsid w:val="00683A9C"/>
    <w:rsid w:val="00683FF7"/>
    <w:rsid w:val="006844C5"/>
    <w:rsid w:val="00684F6A"/>
    <w:rsid w:val="0068560A"/>
    <w:rsid w:val="00685BDE"/>
    <w:rsid w:val="006860AE"/>
    <w:rsid w:val="00686A43"/>
    <w:rsid w:val="00686AAF"/>
    <w:rsid w:val="00690723"/>
    <w:rsid w:val="00690D55"/>
    <w:rsid w:val="00690F52"/>
    <w:rsid w:val="00691735"/>
    <w:rsid w:val="006921A4"/>
    <w:rsid w:val="006921FB"/>
    <w:rsid w:val="00693137"/>
    <w:rsid w:val="00693769"/>
    <w:rsid w:val="00693823"/>
    <w:rsid w:val="00693A90"/>
    <w:rsid w:val="00693D94"/>
    <w:rsid w:val="00694A32"/>
    <w:rsid w:val="00694D4C"/>
    <w:rsid w:val="006950F7"/>
    <w:rsid w:val="00695AD8"/>
    <w:rsid w:val="00695D4C"/>
    <w:rsid w:val="00696053"/>
    <w:rsid w:val="00696262"/>
    <w:rsid w:val="006972FE"/>
    <w:rsid w:val="00697B31"/>
    <w:rsid w:val="00697BA2"/>
    <w:rsid w:val="006A01EB"/>
    <w:rsid w:val="006A06DB"/>
    <w:rsid w:val="006A0C3F"/>
    <w:rsid w:val="006A11BA"/>
    <w:rsid w:val="006A13B9"/>
    <w:rsid w:val="006A21FE"/>
    <w:rsid w:val="006A2DCE"/>
    <w:rsid w:val="006A33F7"/>
    <w:rsid w:val="006A3D4C"/>
    <w:rsid w:val="006A4AA2"/>
    <w:rsid w:val="006A51EE"/>
    <w:rsid w:val="006A5AE7"/>
    <w:rsid w:val="006A69FB"/>
    <w:rsid w:val="006A6B66"/>
    <w:rsid w:val="006A7857"/>
    <w:rsid w:val="006B0332"/>
    <w:rsid w:val="006B08A0"/>
    <w:rsid w:val="006B0DBE"/>
    <w:rsid w:val="006B0F38"/>
    <w:rsid w:val="006B11DB"/>
    <w:rsid w:val="006B1690"/>
    <w:rsid w:val="006B1AD2"/>
    <w:rsid w:val="006B2C51"/>
    <w:rsid w:val="006B33A7"/>
    <w:rsid w:val="006B460D"/>
    <w:rsid w:val="006B73BC"/>
    <w:rsid w:val="006B7448"/>
    <w:rsid w:val="006C0447"/>
    <w:rsid w:val="006C0AFF"/>
    <w:rsid w:val="006C0EF4"/>
    <w:rsid w:val="006C12DE"/>
    <w:rsid w:val="006C1BDE"/>
    <w:rsid w:val="006C23B8"/>
    <w:rsid w:val="006C290B"/>
    <w:rsid w:val="006C38D3"/>
    <w:rsid w:val="006C3E5E"/>
    <w:rsid w:val="006C4013"/>
    <w:rsid w:val="006C4575"/>
    <w:rsid w:val="006C4B3C"/>
    <w:rsid w:val="006C5173"/>
    <w:rsid w:val="006C6A24"/>
    <w:rsid w:val="006C7624"/>
    <w:rsid w:val="006C7ECC"/>
    <w:rsid w:val="006D02E7"/>
    <w:rsid w:val="006D0618"/>
    <w:rsid w:val="006D12B8"/>
    <w:rsid w:val="006D1717"/>
    <w:rsid w:val="006D2135"/>
    <w:rsid w:val="006D289A"/>
    <w:rsid w:val="006D3EA5"/>
    <w:rsid w:val="006D53EF"/>
    <w:rsid w:val="006D6114"/>
    <w:rsid w:val="006D677F"/>
    <w:rsid w:val="006D753C"/>
    <w:rsid w:val="006D75B1"/>
    <w:rsid w:val="006D7F1D"/>
    <w:rsid w:val="006E0FB3"/>
    <w:rsid w:val="006E10B5"/>
    <w:rsid w:val="006E113C"/>
    <w:rsid w:val="006E261F"/>
    <w:rsid w:val="006E2729"/>
    <w:rsid w:val="006E2A32"/>
    <w:rsid w:val="006E369D"/>
    <w:rsid w:val="006E3B41"/>
    <w:rsid w:val="006E4196"/>
    <w:rsid w:val="006E4E74"/>
    <w:rsid w:val="006E53B2"/>
    <w:rsid w:val="006E5A5A"/>
    <w:rsid w:val="006E5FEF"/>
    <w:rsid w:val="006E612F"/>
    <w:rsid w:val="006E61D4"/>
    <w:rsid w:val="006E72C5"/>
    <w:rsid w:val="006E7450"/>
    <w:rsid w:val="006E7FE2"/>
    <w:rsid w:val="006F0037"/>
    <w:rsid w:val="006F041D"/>
    <w:rsid w:val="006F070A"/>
    <w:rsid w:val="006F0F3F"/>
    <w:rsid w:val="006F1B61"/>
    <w:rsid w:val="006F38B5"/>
    <w:rsid w:val="006F4543"/>
    <w:rsid w:val="006F4566"/>
    <w:rsid w:val="006F487B"/>
    <w:rsid w:val="006F4B18"/>
    <w:rsid w:val="006F5280"/>
    <w:rsid w:val="006F5511"/>
    <w:rsid w:val="006F5AC0"/>
    <w:rsid w:val="006F658B"/>
    <w:rsid w:val="006F69D9"/>
    <w:rsid w:val="006F6E47"/>
    <w:rsid w:val="006F7227"/>
    <w:rsid w:val="006F73E6"/>
    <w:rsid w:val="006F7667"/>
    <w:rsid w:val="006F7909"/>
    <w:rsid w:val="00700FF9"/>
    <w:rsid w:val="00701498"/>
    <w:rsid w:val="007015AD"/>
    <w:rsid w:val="00701926"/>
    <w:rsid w:val="007019B6"/>
    <w:rsid w:val="007033CB"/>
    <w:rsid w:val="007040F3"/>
    <w:rsid w:val="00704C68"/>
    <w:rsid w:val="00704DDA"/>
    <w:rsid w:val="00704DE8"/>
    <w:rsid w:val="00705B9A"/>
    <w:rsid w:val="007060DA"/>
    <w:rsid w:val="0070670D"/>
    <w:rsid w:val="00706F71"/>
    <w:rsid w:val="0070706D"/>
    <w:rsid w:val="00707141"/>
    <w:rsid w:val="00707E02"/>
    <w:rsid w:val="0071052A"/>
    <w:rsid w:val="007113DC"/>
    <w:rsid w:val="0071181A"/>
    <w:rsid w:val="007125A6"/>
    <w:rsid w:val="00712796"/>
    <w:rsid w:val="007137D8"/>
    <w:rsid w:val="00713954"/>
    <w:rsid w:val="007139D5"/>
    <w:rsid w:val="00714A34"/>
    <w:rsid w:val="00714B9B"/>
    <w:rsid w:val="00714D7B"/>
    <w:rsid w:val="00714D86"/>
    <w:rsid w:val="00714EFA"/>
    <w:rsid w:val="00715BA9"/>
    <w:rsid w:val="00715FD7"/>
    <w:rsid w:val="00716669"/>
    <w:rsid w:val="00716E2A"/>
    <w:rsid w:val="00717F8A"/>
    <w:rsid w:val="007201A9"/>
    <w:rsid w:val="00720855"/>
    <w:rsid w:val="00720E33"/>
    <w:rsid w:val="00722016"/>
    <w:rsid w:val="00722F22"/>
    <w:rsid w:val="00723B66"/>
    <w:rsid w:val="00723F97"/>
    <w:rsid w:val="00724F15"/>
    <w:rsid w:val="00725261"/>
    <w:rsid w:val="00725958"/>
    <w:rsid w:val="00725A09"/>
    <w:rsid w:val="00725EDC"/>
    <w:rsid w:val="007270FD"/>
    <w:rsid w:val="00727482"/>
    <w:rsid w:val="00727579"/>
    <w:rsid w:val="00730855"/>
    <w:rsid w:val="0073140E"/>
    <w:rsid w:val="00731BA5"/>
    <w:rsid w:val="00732474"/>
    <w:rsid w:val="007331B8"/>
    <w:rsid w:val="007331EA"/>
    <w:rsid w:val="007347ED"/>
    <w:rsid w:val="00734F12"/>
    <w:rsid w:val="0073598A"/>
    <w:rsid w:val="00735F16"/>
    <w:rsid w:val="007367B5"/>
    <w:rsid w:val="00737DA0"/>
    <w:rsid w:val="0074006F"/>
    <w:rsid w:val="00740FB8"/>
    <w:rsid w:val="00741369"/>
    <w:rsid w:val="007416DF"/>
    <w:rsid w:val="00742076"/>
    <w:rsid w:val="0074243E"/>
    <w:rsid w:val="00742700"/>
    <w:rsid w:val="007427EF"/>
    <w:rsid w:val="00742E31"/>
    <w:rsid w:val="00742F15"/>
    <w:rsid w:val="00742FEC"/>
    <w:rsid w:val="007430A0"/>
    <w:rsid w:val="007435F9"/>
    <w:rsid w:val="00743618"/>
    <w:rsid w:val="00744009"/>
    <w:rsid w:val="00744ACE"/>
    <w:rsid w:val="00744E63"/>
    <w:rsid w:val="0074568F"/>
    <w:rsid w:val="00745CB0"/>
    <w:rsid w:val="00746BDF"/>
    <w:rsid w:val="00746E6E"/>
    <w:rsid w:val="00746EA9"/>
    <w:rsid w:val="00746F1E"/>
    <w:rsid w:val="007470C3"/>
    <w:rsid w:val="00747366"/>
    <w:rsid w:val="0074773C"/>
    <w:rsid w:val="00747987"/>
    <w:rsid w:val="00747D83"/>
    <w:rsid w:val="00750393"/>
    <w:rsid w:val="00750F2C"/>
    <w:rsid w:val="00751A20"/>
    <w:rsid w:val="00751E85"/>
    <w:rsid w:val="0075206F"/>
    <w:rsid w:val="00752A9A"/>
    <w:rsid w:val="00752D12"/>
    <w:rsid w:val="00752DC3"/>
    <w:rsid w:val="00753652"/>
    <w:rsid w:val="007538BE"/>
    <w:rsid w:val="00754B1F"/>
    <w:rsid w:val="00754B91"/>
    <w:rsid w:val="00755199"/>
    <w:rsid w:val="007553EA"/>
    <w:rsid w:val="00755ACF"/>
    <w:rsid w:val="007561E4"/>
    <w:rsid w:val="00756714"/>
    <w:rsid w:val="00756CEB"/>
    <w:rsid w:val="0075714C"/>
    <w:rsid w:val="00757C91"/>
    <w:rsid w:val="00760A88"/>
    <w:rsid w:val="00761DFA"/>
    <w:rsid w:val="00761F21"/>
    <w:rsid w:val="0076247A"/>
    <w:rsid w:val="007626C9"/>
    <w:rsid w:val="007636C2"/>
    <w:rsid w:val="00763841"/>
    <w:rsid w:val="00763959"/>
    <w:rsid w:val="00763DDA"/>
    <w:rsid w:val="00763E6F"/>
    <w:rsid w:val="00763F1D"/>
    <w:rsid w:val="007661F6"/>
    <w:rsid w:val="007665CD"/>
    <w:rsid w:val="00766F99"/>
    <w:rsid w:val="00770753"/>
    <w:rsid w:val="00770D53"/>
    <w:rsid w:val="007711C2"/>
    <w:rsid w:val="0077177C"/>
    <w:rsid w:val="007724A7"/>
    <w:rsid w:val="007728D1"/>
    <w:rsid w:val="00772A78"/>
    <w:rsid w:val="00773515"/>
    <w:rsid w:val="00773873"/>
    <w:rsid w:val="00774339"/>
    <w:rsid w:val="007749B7"/>
    <w:rsid w:val="00775F74"/>
    <w:rsid w:val="00776241"/>
    <w:rsid w:val="00777B37"/>
    <w:rsid w:val="007808F2"/>
    <w:rsid w:val="0078179B"/>
    <w:rsid w:val="00782737"/>
    <w:rsid w:val="007829CB"/>
    <w:rsid w:val="007833D1"/>
    <w:rsid w:val="00783E14"/>
    <w:rsid w:val="0078471C"/>
    <w:rsid w:val="0078489E"/>
    <w:rsid w:val="00787A20"/>
    <w:rsid w:val="00787AE1"/>
    <w:rsid w:val="007917EA"/>
    <w:rsid w:val="00791A9B"/>
    <w:rsid w:val="00791E93"/>
    <w:rsid w:val="007924AB"/>
    <w:rsid w:val="00793215"/>
    <w:rsid w:val="00794794"/>
    <w:rsid w:val="00795E81"/>
    <w:rsid w:val="00795FC3"/>
    <w:rsid w:val="007960F6"/>
    <w:rsid w:val="007965C3"/>
    <w:rsid w:val="00796C1F"/>
    <w:rsid w:val="007978B6"/>
    <w:rsid w:val="007A029E"/>
    <w:rsid w:val="007A02EA"/>
    <w:rsid w:val="007A16F6"/>
    <w:rsid w:val="007A19FC"/>
    <w:rsid w:val="007A2101"/>
    <w:rsid w:val="007A3622"/>
    <w:rsid w:val="007A38E5"/>
    <w:rsid w:val="007A580D"/>
    <w:rsid w:val="007A58E1"/>
    <w:rsid w:val="007A61C5"/>
    <w:rsid w:val="007A65EB"/>
    <w:rsid w:val="007A699B"/>
    <w:rsid w:val="007A73A3"/>
    <w:rsid w:val="007A7885"/>
    <w:rsid w:val="007B16CE"/>
    <w:rsid w:val="007B17EA"/>
    <w:rsid w:val="007B234B"/>
    <w:rsid w:val="007B33F9"/>
    <w:rsid w:val="007B43BC"/>
    <w:rsid w:val="007B4B11"/>
    <w:rsid w:val="007B4E64"/>
    <w:rsid w:val="007B4FC4"/>
    <w:rsid w:val="007B60E6"/>
    <w:rsid w:val="007B6505"/>
    <w:rsid w:val="007B6F1D"/>
    <w:rsid w:val="007B702F"/>
    <w:rsid w:val="007B714E"/>
    <w:rsid w:val="007B7A85"/>
    <w:rsid w:val="007B7CC8"/>
    <w:rsid w:val="007C03D1"/>
    <w:rsid w:val="007C0E82"/>
    <w:rsid w:val="007C1DAF"/>
    <w:rsid w:val="007C296E"/>
    <w:rsid w:val="007C3239"/>
    <w:rsid w:val="007C339D"/>
    <w:rsid w:val="007C3578"/>
    <w:rsid w:val="007C38E0"/>
    <w:rsid w:val="007C4FA4"/>
    <w:rsid w:val="007C5477"/>
    <w:rsid w:val="007C5993"/>
    <w:rsid w:val="007C5DC3"/>
    <w:rsid w:val="007C6024"/>
    <w:rsid w:val="007C67F5"/>
    <w:rsid w:val="007C6B25"/>
    <w:rsid w:val="007C79B1"/>
    <w:rsid w:val="007C7BC0"/>
    <w:rsid w:val="007C7C32"/>
    <w:rsid w:val="007D022C"/>
    <w:rsid w:val="007D02C7"/>
    <w:rsid w:val="007D1640"/>
    <w:rsid w:val="007D1A2E"/>
    <w:rsid w:val="007D335C"/>
    <w:rsid w:val="007D423F"/>
    <w:rsid w:val="007D45C3"/>
    <w:rsid w:val="007D4ABF"/>
    <w:rsid w:val="007D5744"/>
    <w:rsid w:val="007D6257"/>
    <w:rsid w:val="007D6FF3"/>
    <w:rsid w:val="007D7B29"/>
    <w:rsid w:val="007E010A"/>
    <w:rsid w:val="007E1232"/>
    <w:rsid w:val="007E28A2"/>
    <w:rsid w:val="007E2DFE"/>
    <w:rsid w:val="007E370C"/>
    <w:rsid w:val="007E3F0F"/>
    <w:rsid w:val="007E4718"/>
    <w:rsid w:val="007E6017"/>
    <w:rsid w:val="007E67C3"/>
    <w:rsid w:val="007E67D4"/>
    <w:rsid w:val="007E6AB9"/>
    <w:rsid w:val="007E6C64"/>
    <w:rsid w:val="007E7458"/>
    <w:rsid w:val="007E7D88"/>
    <w:rsid w:val="007F1366"/>
    <w:rsid w:val="007F14A4"/>
    <w:rsid w:val="007F15BC"/>
    <w:rsid w:val="007F1A3D"/>
    <w:rsid w:val="007F247D"/>
    <w:rsid w:val="007F280E"/>
    <w:rsid w:val="007F2F78"/>
    <w:rsid w:val="007F3FB8"/>
    <w:rsid w:val="007F40EC"/>
    <w:rsid w:val="007F666B"/>
    <w:rsid w:val="007F6797"/>
    <w:rsid w:val="007F6F02"/>
    <w:rsid w:val="007F7488"/>
    <w:rsid w:val="007F748D"/>
    <w:rsid w:val="007F7FC1"/>
    <w:rsid w:val="0080069F"/>
    <w:rsid w:val="008010FA"/>
    <w:rsid w:val="008011BE"/>
    <w:rsid w:val="00802710"/>
    <w:rsid w:val="00802EA0"/>
    <w:rsid w:val="008033FC"/>
    <w:rsid w:val="00803BD8"/>
    <w:rsid w:val="0080406D"/>
    <w:rsid w:val="008049D8"/>
    <w:rsid w:val="008053B2"/>
    <w:rsid w:val="008061A6"/>
    <w:rsid w:val="00806A12"/>
    <w:rsid w:val="0080743C"/>
    <w:rsid w:val="008102ED"/>
    <w:rsid w:val="00810662"/>
    <w:rsid w:val="00810A5E"/>
    <w:rsid w:val="00810DEB"/>
    <w:rsid w:val="00811542"/>
    <w:rsid w:val="008116DC"/>
    <w:rsid w:val="00811D77"/>
    <w:rsid w:val="00811FE4"/>
    <w:rsid w:val="00812655"/>
    <w:rsid w:val="00812853"/>
    <w:rsid w:val="008132C5"/>
    <w:rsid w:val="008134B4"/>
    <w:rsid w:val="0081408C"/>
    <w:rsid w:val="0081532B"/>
    <w:rsid w:val="008157C6"/>
    <w:rsid w:val="00815B9E"/>
    <w:rsid w:val="00815FC9"/>
    <w:rsid w:val="008172BB"/>
    <w:rsid w:val="0082011E"/>
    <w:rsid w:val="008202CF"/>
    <w:rsid w:val="00820EC7"/>
    <w:rsid w:val="0082116A"/>
    <w:rsid w:val="008218E6"/>
    <w:rsid w:val="0082196C"/>
    <w:rsid w:val="00821BB0"/>
    <w:rsid w:val="008226B8"/>
    <w:rsid w:val="00822F69"/>
    <w:rsid w:val="008231D6"/>
    <w:rsid w:val="008234B2"/>
    <w:rsid w:val="008234B4"/>
    <w:rsid w:val="0082391D"/>
    <w:rsid w:val="0082396F"/>
    <w:rsid w:val="00824029"/>
    <w:rsid w:val="00824650"/>
    <w:rsid w:val="008246A5"/>
    <w:rsid w:val="00824BF4"/>
    <w:rsid w:val="00825809"/>
    <w:rsid w:val="00825F4B"/>
    <w:rsid w:val="00826EC3"/>
    <w:rsid w:val="00826F80"/>
    <w:rsid w:val="008273DF"/>
    <w:rsid w:val="00827680"/>
    <w:rsid w:val="008302B6"/>
    <w:rsid w:val="0083096C"/>
    <w:rsid w:val="00830A21"/>
    <w:rsid w:val="0083105F"/>
    <w:rsid w:val="008312DB"/>
    <w:rsid w:val="00832C68"/>
    <w:rsid w:val="00833164"/>
    <w:rsid w:val="00833CE9"/>
    <w:rsid w:val="00834497"/>
    <w:rsid w:val="00834E83"/>
    <w:rsid w:val="008351DF"/>
    <w:rsid w:val="008360F8"/>
    <w:rsid w:val="00836105"/>
    <w:rsid w:val="00836E47"/>
    <w:rsid w:val="0083798F"/>
    <w:rsid w:val="0084031B"/>
    <w:rsid w:val="0084059B"/>
    <w:rsid w:val="00840BEE"/>
    <w:rsid w:val="0084153B"/>
    <w:rsid w:val="00841F83"/>
    <w:rsid w:val="00842BA3"/>
    <w:rsid w:val="008441F3"/>
    <w:rsid w:val="00844729"/>
    <w:rsid w:val="00844DFF"/>
    <w:rsid w:val="008452B8"/>
    <w:rsid w:val="00845C54"/>
    <w:rsid w:val="00846E4B"/>
    <w:rsid w:val="00850849"/>
    <w:rsid w:val="00850937"/>
    <w:rsid w:val="00850A67"/>
    <w:rsid w:val="00850DE6"/>
    <w:rsid w:val="00851347"/>
    <w:rsid w:val="00851701"/>
    <w:rsid w:val="00851A0D"/>
    <w:rsid w:val="00851E27"/>
    <w:rsid w:val="00852304"/>
    <w:rsid w:val="008524F5"/>
    <w:rsid w:val="00852885"/>
    <w:rsid w:val="008538B6"/>
    <w:rsid w:val="008538DB"/>
    <w:rsid w:val="00855ED1"/>
    <w:rsid w:val="00855FBB"/>
    <w:rsid w:val="0085651C"/>
    <w:rsid w:val="00856670"/>
    <w:rsid w:val="00856FD0"/>
    <w:rsid w:val="00857807"/>
    <w:rsid w:val="00857977"/>
    <w:rsid w:val="0085798D"/>
    <w:rsid w:val="00857FD8"/>
    <w:rsid w:val="00857FF8"/>
    <w:rsid w:val="008603B3"/>
    <w:rsid w:val="00860A09"/>
    <w:rsid w:val="00860F47"/>
    <w:rsid w:val="00861A0C"/>
    <w:rsid w:val="00862284"/>
    <w:rsid w:val="008623D2"/>
    <w:rsid w:val="0086357A"/>
    <w:rsid w:val="00865AAE"/>
    <w:rsid w:val="00866606"/>
    <w:rsid w:val="00866B4A"/>
    <w:rsid w:val="00872E4D"/>
    <w:rsid w:val="00874449"/>
    <w:rsid w:val="00874465"/>
    <w:rsid w:val="00874789"/>
    <w:rsid w:val="008748EE"/>
    <w:rsid w:val="008765E9"/>
    <w:rsid w:val="00876F7D"/>
    <w:rsid w:val="00877D10"/>
    <w:rsid w:val="00880424"/>
    <w:rsid w:val="00880667"/>
    <w:rsid w:val="008809B1"/>
    <w:rsid w:val="00880A1C"/>
    <w:rsid w:val="00881372"/>
    <w:rsid w:val="00881B06"/>
    <w:rsid w:val="00882131"/>
    <w:rsid w:val="008827BC"/>
    <w:rsid w:val="00882B4A"/>
    <w:rsid w:val="00882CAA"/>
    <w:rsid w:val="00883318"/>
    <w:rsid w:val="00883852"/>
    <w:rsid w:val="0088394A"/>
    <w:rsid w:val="0088502F"/>
    <w:rsid w:val="008859CB"/>
    <w:rsid w:val="00885B5D"/>
    <w:rsid w:val="00885E6B"/>
    <w:rsid w:val="00886578"/>
    <w:rsid w:val="008868D7"/>
    <w:rsid w:val="00887C2D"/>
    <w:rsid w:val="00890090"/>
    <w:rsid w:val="00890325"/>
    <w:rsid w:val="008905F3"/>
    <w:rsid w:val="00891906"/>
    <w:rsid w:val="00892260"/>
    <w:rsid w:val="00892296"/>
    <w:rsid w:val="00892C52"/>
    <w:rsid w:val="00892E4B"/>
    <w:rsid w:val="00893404"/>
    <w:rsid w:val="008939BF"/>
    <w:rsid w:val="00893C17"/>
    <w:rsid w:val="00893EF4"/>
    <w:rsid w:val="00894F74"/>
    <w:rsid w:val="00895A5C"/>
    <w:rsid w:val="00896455"/>
    <w:rsid w:val="00896940"/>
    <w:rsid w:val="0089712E"/>
    <w:rsid w:val="00897E55"/>
    <w:rsid w:val="008A1EE0"/>
    <w:rsid w:val="008A34BD"/>
    <w:rsid w:val="008A4667"/>
    <w:rsid w:val="008A4693"/>
    <w:rsid w:val="008A4D3C"/>
    <w:rsid w:val="008A4E76"/>
    <w:rsid w:val="008A5337"/>
    <w:rsid w:val="008A5586"/>
    <w:rsid w:val="008A5F0D"/>
    <w:rsid w:val="008A604E"/>
    <w:rsid w:val="008A611D"/>
    <w:rsid w:val="008A6FC0"/>
    <w:rsid w:val="008B1022"/>
    <w:rsid w:val="008B1838"/>
    <w:rsid w:val="008B22D7"/>
    <w:rsid w:val="008B36EE"/>
    <w:rsid w:val="008B3868"/>
    <w:rsid w:val="008B3A45"/>
    <w:rsid w:val="008B6305"/>
    <w:rsid w:val="008B66CE"/>
    <w:rsid w:val="008B6D4D"/>
    <w:rsid w:val="008B7074"/>
    <w:rsid w:val="008B73E5"/>
    <w:rsid w:val="008B7497"/>
    <w:rsid w:val="008B7B68"/>
    <w:rsid w:val="008C1B24"/>
    <w:rsid w:val="008C1DFD"/>
    <w:rsid w:val="008C25DD"/>
    <w:rsid w:val="008C2B7B"/>
    <w:rsid w:val="008C2CA2"/>
    <w:rsid w:val="008C3637"/>
    <w:rsid w:val="008C5248"/>
    <w:rsid w:val="008C5BDA"/>
    <w:rsid w:val="008C6E1E"/>
    <w:rsid w:val="008C720D"/>
    <w:rsid w:val="008C76D2"/>
    <w:rsid w:val="008C77E2"/>
    <w:rsid w:val="008C78ED"/>
    <w:rsid w:val="008C7904"/>
    <w:rsid w:val="008C7C4E"/>
    <w:rsid w:val="008C7D65"/>
    <w:rsid w:val="008D0C79"/>
    <w:rsid w:val="008D1C62"/>
    <w:rsid w:val="008D3493"/>
    <w:rsid w:val="008D4450"/>
    <w:rsid w:val="008D5C72"/>
    <w:rsid w:val="008D5DA1"/>
    <w:rsid w:val="008D5E49"/>
    <w:rsid w:val="008D636E"/>
    <w:rsid w:val="008D6788"/>
    <w:rsid w:val="008D6E9F"/>
    <w:rsid w:val="008D6EE7"/>
    <w:rsid w:val="008D73DC"/>
    <w:rsid w:val="008E00CE"/>
    <w:rsid w:val="008E0488"/>
    <w:rsid w:val="008E048F"/>
    <w:rsid w:val="008E06B6"/>
    <w:rsid w:val="008E0CF6"/>
    <w:rsid w:val="008E1144"/>
    <w:rsid w:val="008E1411"/>
    <w:rsid w:val="008E1667"/>
    <w:rsid w:val="008E24EC"/>
    <w:rsid w:val="008E33E8"/>
    <w:rsid w:val="008E348D"/>
    <w:rsid w:val="008E3519"/>
    <w:rsid w:val="008E3560"/>
    <w:rsid w:val="008E4126"/>
    <w:rsid w:val="008E4205"/>
    <w:rsid w:val="008E4759"/>
    <w:rsid w:val="008E4AA4"/>
    <w:rsid w:val="008E4F38"/>
    <w:rsid w:val="008E59F0"/>
    <w:rsid w:val="008E642A"/>
    <w:rsid w:val="008E6A9C"/>
    <w:rsid w:val="008E7207"/>
    <w:rsid w:val="008F0C1A"/>
    <w:rsid w:val="008F0ED4"/>
    <w:rsid w:val="008F1095"/>
    <w:rsid w:val="008F112E"/>
    <w:rsid w:val="008F1143"/>
    <w:rsid w:val="008F15DE"/>
    <w:rsid w:val="008F380B"/>
    <w:rsid w:val="008F434C"/>
    <w:rsid w:val="008F4411"/>
    <w:rsid w:val="008F5693"/>
    <w:rsid w:val="008F5B23"/>
    <w:rsid w:val="008F7083"/>
    <w:rsid w:val="008F7AEB"/>
    <w:rsid w:val="008F7E15"/>
    <w:rsid w:val="00900FA5"/>
    <w:rsid w:val="009018BC"/>
    <w:rsid w:val="009032F9"/>
    <w:rsid w:val="00903624"/>
    <w:rsid w:val="00903676"/>
    <w:rsid w:val="009042F9"/>
    <w:rsid w:val="009045AD"/>
    <w:rsid w:val="00904865"/>
    <w:rsid w:val="00905171"/>
    <w:rsid w:val="00905414"/>
    <w:rsid w:val="00905E1C"/>
    <w:rsid w:val="00906358"/>
    <w:rsid w:val="00906427"/>
    <w:rsid w:val="00906E35"/>
    <w:rsid w:val="0090799C"/>
    <w:rsid w:val="00907C52"/>
    <w:rsid w:val="00907EF7"/>
    <w:rsid w:val="009110A7"/>
    <w:rsid w:val="00911D22"/>
    <w:rsid w:val="00912046"/>
    <w:rsid w:val="00912E00"/>
    <w:rsid w:val="009134C9"/>
    <w:rsid w:val="00913BCA"/>
    <w:rsid w:val="00913F19"/>
    <w:rsid w:val="00916F0B"/>
    <w:rsid w:val="0091762D"/>
    <w:rsid w:val="00917D01"/>
    <w:rsid w:val="00917EAE"/>
    <w:rsid w:val="009200D5"/>
    <w:rsid w:val="00920298"/>
    <w:rsid w:val="00920E7B"/>
    <w:rsid w:val="00921241"/>
    <w:rsid w:val="00921F9E"/>
    <w:rsid w:val="00922004"/>
    <w:rsid w:val="009236F0"/>
    <w:rsid w:val="00923C79"/>
    <w:rsid w:val="00923E99"/>
    <w:rsid w:val="009245E1"/>
    <w:rsid w:val="009248B3"/>
    <w:rsid w:val="00924A3D"/>
    <w:rsid w:val="00924BE9"/>
    <w:rsid w:val="009250FC"/>
    <w:rsid w:val="00925203"/>
    <w:rsid w:val="009258B3"/>
    <w:rsid w:val="00925B51"/>
    <w:rsid w:val="0092680E"/>
    <w:rsid w:val="00926B5F"/>
    <w:rsid w:val="00927525"/>
    <w:rsid w:val="009302F2"/>
    <w:rsid w:val="00930622"/>
    <w:rsid w:val="009308D9"/>
    <w:rsid w:val="00930E06"/>
    <w:rsid w:val="00931126"/>
    <w:rsid w:val="0093167C"/>
    <w:rsid w:val="00932516"/>
    <w:rsid w:val="00932D5C"/>
    <w:rsid w:val="009331BD"/>
    <w:rsid w:val="009345EF"/>
    <w:rsid w:val="00934A08"/>
    <w:rsid w:val="0093519A"/>
    <w:rsid w:val="00935EB0"/>
    <w:rsid w:val="0093701D"/>
    <w:rsid w:val="00937769"/>
    <w:rsid w:val="00937F12"/>
    <w:rsid w:val="00940AB2"/>
    <w:rsid w:val="00940C2C"/>
    <w:rsid w:val="00940EC0"/>
    <w:rsid w:val="00941511"/>
    <w:rsid w:val="00942367"/>
    <w:rsid w:val="00943143"/>
    <w:rsid w:val="009437FD"/>
    <w:rsid w:val="00943DFD"/>
    <w:rsid w:val="00944CE3"/>
    <w:rsid w:val="009459A8"/>
    <w:rsid w:val="00946D41"/>
    <w:rsid w:val="00946DD7"/>
    <w:rsid w:val="00950152"/>
    <w:rsid w:val="0095063C"/>
    <w:rsid w:val="0095157D"/>
    <w:rsid w:val="00951744"/>
    <w:rsid w:val="00951810"/>
    <w:rsid w:val="009538A4"/>
    <w:rsid w:val="00955B53"/>
    <w:rsid w:val="00955ECA"/>
    <w:rsid w:val="009560FE"/>
    <w:rsid w:val="00956539"/>
    <w:rsid w:val="00956B07"/>
    <w:rsid w:val="00957415"/>
    <w:rsid w:val="00957720"/>
    <w:rsid w:val="00960516"/>
    <w:rsid w:val="009612B9"/>
    <w:rsid w:val="00961C78"/>
    <w:rsid w:val="00961E59"/>
    <w:rsid w:val="0096222A"/>
    <w:rsid w:val="00962588"/>
    <w:rsid w:val="00962F79"/>
    <w:rsid w:val="0096314D"/>
    <w:rsid w:val="00963885"/>
    <w:rsid w:val="00963BA1"/>
    <w:rsid w:val="00963CB7"/>
    <w:rsid w:val="00964340"/>
    <w:rsid w:val="009648CE"/>
    <w:rsid w:val="009658C4"/>
    <w:rsid w:val="00965E02"/>
    <w:rsid w:val="00966046"/>
    <w:rsid w:val="0096633A"/>
    <w:rsid w:val="00966350"/>
    <w:rsid w:val="00966B5B"/>
    <w:rsid w:val="00966C7A"/>
    <w:rsid w:val="00967141"/>
    <w:rsid w:val="0096727A"/>
    <w:rsid w:val="009678CB"/>
    <w:rsid w:val="00970121"/>
    <w:rsid w:val="0097080B"/>
    <w:rsid w:val="00970871"/>
    <w:rsid w:val="00970978"/>
    <w:rsid w:val="0097120C"/>
    <w:rsid w:val="00972756"/>
    <w:rsid w:val="009743FA"/>
    <w:rsid w:val="0097502F"/>
    <w:rsid w:val="009759E2"/>
    <w:rsid w:val="00976792"/>
    <w:rsid w:val="00977839"/>
    <w:rsid w:val="009802F4"/>
    <w:rsid w:val="00980310"/>
    <w:rsid w:val="00980492"/>
    <w:rsid w:val="00980A6D"/>
    <w:rsid w:val="00981839"/>
    <w:rsid w:val="00981897"/>
    <w:rsid w:val="00981BBC"/>
    <w:rsid w:val="00982E43"/>
    <w:rsid w:val="009832FE"/>
    <w:rsid w:val="009834F8"/>
    <w:rsid w:val="00983831"/>
    <w:rsid w:val="00984F2D"/>
    <w:rsid w:val="009852E3"/>
    <w:rsid w:val="00985353"/>
    <w:rsid w:val="009865AB"/>
    <w:rsid w:val="00986C8C"/>
    <w:rsid w:val="00987864"/>
    <w:rsid w:val="0099039C"/>
    <w:rsid w:val="0099097B"/>
    <w:rsid w:val="00992ABC"/>
    <w:rsid w:val="00992C6B"/>
    <w:rsid w:val="00993337"/>
    <w:rsid w:val="0099357E"/>
    <w:rsid w:val="009954BF"/>
    <w:rsid w:val="0099553B"/>
    <w:rsid w:val="009960DF"/>
    <w:rsid w:val="00996562"/>
    <w:rsid w:val="0099657B"/>
    <w:rsid w:val="00997F9A"/>
    <w:rsid w:val="009A0DCE"/>
    <w:rsid w:val="009A10CE"/>
    <w:rsid w:val="009A16BF"/>
    <w:rsid w:val="009A1ADF"/>
    <w:rsid w:val="009A2883"/>
    <w:rsid w:val="009A2A3B"/>
    <w:rsid w:val="009A30F6"/>
    <w:rsid w:val="009A3678"/>
    <w:rsid w:val="009A4A63"/>
    <w:rsid w:val="009A4AFC"/>
    <w:rsid w:val="009A5407"/>
    <w:rsid w:val="009A5C4D"/>
    <w:rsid w:val="009A6001"/>
    <w:rsid w:val="009A6306"/>
    <w:rsid w:val="009A6581"/>
    <w:rsid w:val="009A66C2"/>
    <w:rsid w:val="009A6A02"/>
    <w:rsid w:val="009A6E85"/>
    <w:rsid w:val="009A7473"/>
    <w:rsid w:val="009B03A8"/>
    <w:rsid w:val="009B0692"/>
    <w:rsid w:val="009B1B86"/>
    <w:rsid w:val="009B2175"/>
    <w:rsid w:val="009B22AC"/>
    <w:rsid w:val="009B330B"/>
    <w:rsid w:val="009B5FFD"/>
    <w:rsid w:val="009B62B3"/>
    <w:rsid w:val="009B6578"/>
    <w:rsid w:val="009B6AE4"/>
    <w:rsid w:val="009B6C3C"/>
    <w:rsid w:val="009B740E"/>
    <w:rsid w:val="009B758D"/>
    <w:rsid w:val="009B7E43"/>
    <w:rsid w:val="009C13DD"/>
    <w:rsid w:val="009C20AB"/>
    <w:rsid w:val="009C20F8"/>
    <w:rsid w:val="009C24F8"/>
    <w:rsid w:val="009C2908"/>
    <w:rsid w:val="009C3AC7"/>
    <w:rsid w:val="009C42B7"/>
    <w:rsid w:val="009C42E4"/>
    <w:rsid w:val="009C45F7"/>
    <w:rsid w:val="009C46AC"/>
    <w:rsid w:val="009C577A"/>
    <w:rsid w:val="009C698A"/>
    <w:rsid w:val="009C752B"/>
    <w:rsid w:val="009C7851"/>
    <w:rsid w:val="009D00A4"/>
    <w:rsid w:val="009D178F"/>
    <w:rsid w:val="009D1A34"/>
    <w:rsid w:val="009D1ED7"/>
    <w:rsid w:val="009D24F6"/>
    <w:rsid w:val="009D375D"/>
    <w:rsid w:val="009D380C"/>
    <w:rsid w:val="009D537D"/>
    <w:rsid w:val="009D60DF"/>
    <w:rsid w:val="009D64A9"/>
    <w:rsid w:val="009D67E7"/>
    <w:rsid w:val="009E24C6"/>
    <w:rsid w:val="009E2509"/>
    <w:rsid w:val="009E2E6D"/>
    <w:rsid w:val="009E3D54"/>
    <w:rsid w:val="009E462F"/>
    <w:rsid w:val="009E49AE"/>
    <w:rsid w:val="009E5095"/>
    <w:rsid w:val="009E5215"/>
    <w:rsid w:val="009E5861"/>
    <w:rsid w:val="009E78BE"/>
    <w:rsid w:val="009F0CB9"/>
    <w:rsid w:val="009F0FC9"/>
    <w:rsid w:val="009F1156"/>
    <w:rsid w:val="009F1337"/>
    <w:rsid w:val="009F2102"/>
    <w:rsid w:val="009F4A52"/>
    <w:rsid w:val="009F54EE"/>
    <w:rsid w:val="009F54F6"/>
    <w:rsid w:val="009F5C39"/>
    <w:rsid w:val="009F601E"/>
    <w:rsid w:val="009F60D9"/>
    <w:rsid w:val="009F717E"/>
    <w:rsid w:val="00A0045A"/>
    <w:rsid w:val="00A00472"/>
    <w:rsid w:val="00A009F5"/>
    <w:rsid w:val="00A015ED"/>
    <w:rsid w:val="00A01869"/>
    <w:rsid w:val="00A02083"/>
    <w:rsid w:val="00A02507"/>
    <w:rsid w:val="00A02E17"/>
    <w:rsid w:val="00A02EDD"/>
    <w:rsid w:val="00A030AE"/>
    <w:rsid w:val="00A0350C"/>
    <w:rsid w:val="00A035A8"/>
    <w:rsid w:val="00A0511B"/>
    <w:rsid w:val="00A05CEC"/>
    <w:rsid w:val="00A068D4"/>
    <w:rsid w:val="00A06C70"/>
    <w:rsid w:val="00A0736D"/>
    <w:rsid w:val="00A077F2"/>
    <w:rsid w:val="00A07EC0"/>
    <w:rsid w:val="00A10C86"/>
    <w:rsid w:val="00A110F2"/>
    <w:rsid w:val="00A111DB"/>
    <w:rsid w:val="00A124EE"/>
    <w:rsid w:val="00A13B83"/>
    <w:rsid w:val="00A13BEB"/>
    <w:rsid w:val="00A1428D"/>
    <w:rsid w:val="00A16748"/>
    <w:rsid w:val="00A1768C"/>
    <w:rsid w:val="00A1772E"/>
    <w:rsid w:val="00A17EA4"/>
    <w:rsid w:val="00A20B72"/>
    <w:rsid w:val="00A20C03"/>
    <w:rsid w:val="00A21647"/>
    <w:rsid w:val="00A22D15"/>
    <w:rsid w:val="00A231F2"/>
    <w:rsid w:val="00A23521"/>
    <w:rsid w:val="00A23B9F"/>
    <w:rsid w:val="00A23D4F"/>
    <w:rsid w:val="00A23DE9"/>
    <w:rsid w:val="00A24C34"/>
    <w:rsid w:val="00A24CBE"/>
    <w:rsid w:val="00A251BF"/>
    <w:rsid w:val="00A2674C"/>
    <w:rsid w:val="00A2693D"/>
    <w:rsid w:val="00A270A8"/>
    <w:rsid w:val="00A276FA"/>
    <w:rsid w:val="00A31974"/>
    <w:rsid w:val="00A32029"/>
    <w:rsid w:val="00A33241"/>
    <w:rsid w:val="00A34196"/>
    <w:rsid w:val="00A343AF"/>
    <w:rsid w:val="00A34DAE"/>
    <w:rsid w:val="00A361C5"/>
    <w:rsid w:val="00A36DE7"/>
    <w:rsid w:val="00A36ED2"/>
    <w:rsid w:val="00A37170"/>
    <w:rsid w:val="00A37F4B"/>
    <w:rsid w:val="00A405A1"/>
    <w:rsid w:val="00A41C52"/>
    <w:rsid w:val="00A41CB0"/>
    <w:rsid w:val="00A4222B"/>
    <w:rsid w:val="00A43CAD"/>
    <w:rsid w:val="00A444F2"/>
    <w:rsid w:val="00A44C1C"/>
    <w:rsid w:val="00A44D3C"/>
    <w:rsid w:val="00A452FA"/>
    <w:rsid w:val="00A45909"/>
    <w:rsid w:val="00A4592F"/>
    <w:rsid w:val="00A45995"/>
    <w:rsid w:val="00A464A9"/>
    <w:rsid w:val="00A468C2"/>
    <w:rsid w:val="00A46968"/>
    <w:rsid w:val="00A4706F"/>
    <w:rsid w:val="00A47424"/>
    <w:rsid w:val="00A476D6"/>
    <w:rsid w:val="00A47DAC"/>
    <w:rsid w:val="00A47EF8"/>
    <w:rsid w:val="00A4F69B"/>
    <w:rsid w:val="00A502FF"/>
    <w:rsid w:val="00A514D6"/>
    <w:rsid w:val="00A5194F"/>
    <w:rsid w:val="00A52C4A"/>
    <w:rsid w:val="00A52F58"/>
    <w:rsid w:val="00A52F5C"/>
    <w:rsid w:val="00A530B0"/>
    <w:rsid w:val="00A543BB"/>
    <w:rsid w:val="00A55B44"/>
    <w:rsid w:val="00A56F06"/>
    <w:rsid w:val="00A575FB"/>
    <w:rsid w:val="00A57DCF"/>
    <w:rsid w:val="00A602DE"/>
    <w:rsid w:val="00A604A3"/>
    <w:rsid w:val="00A604E3"/>
    <w:rsid w:val="00A6067C"/>
    <w:rsid w:val="00A60A73"/>
    <w:rsid w:val="00A610C2"/>
    <w:rsid w:val="00A616D8"/>
    <w:rsid w:val="00A61CA4"/>
    <w:rsid w:val="00A62018"/>
    <w:rsid w:val="00A624BC"/>
    <w:rsid w:val="00A62BF1"/>
    <w:rsid w:val="00A62F26"/>
    <w:rsid w:val="00A63241"/>
    <w:rsid w:val="00A64506"/>
    <w:rsid w:val="00A64C37"/>
    <w:rsid w:val="00A6512B"/>
    <w:rsid w:val="00A6592E"/>
    <w:rsid w:val="00A66B65"/>
    <w:rsid w:val="00A67EB5"/>
    <w:rsid w:val="00A703A0"/>
    <w:rsid w:val="00A70CD0"/>
    <w:rsid w:val="00A722D3"/>
    <w:rsid w:val="00A7344A"/>
    <w:rsid w:val="00A73498"/>
    <w:rsid w:val="00A741CD"/>
    <w:rsid w:val="00A74BA3"/>
    <w:rsid w:val="00A76BEA"/>
    <w:rsid w:val="00A804ED"/>
    <w:rsid w:val="00A80948"/>
    <w:rsid w:val="00A818FD"/>
    <w:rsid w:val="00A81DAC"/>
    <w:rsid w:val="00A81DC0"/>
    <w:rsid w:val="00A83289"/>
    <w:rsid w:val="00A835C2"/>
    <w:rsid w:val="00A8422D"/>
    <w:rsid w:val="00A84ED8"/>
    <w:rsid w:val="00A856E7"/>
    <w:rsid w:val="00A8596C"/>
    <w:rsid w:val="00A85B3E"/>
    <w:rsid w:val="00A85C47"/>
    <w:rsid w:val="00A85CC9"/>
    <w:rsid w:val="00A87731"/>
    <w:rsid w:val="00A87BA4"/>
    <w:rsid w:val="00A87CE2"/>
    <w:rsid w:val="00A9274C"/>
    <w:rsid w:val="00A92BA9"/>
    <w:rsid w:val="00A92D2D"/>
    <w:rsid w:val="00A93CBB"/>
    <w:rsid w:val="00A94190"/>
    <w:rsid w:val="00A94946"/>
    <w:rsid w:val="00A95262"/>
    <w:rsid w:val="00A9542A"/>
    <w:rsid w:val="00A95EC4"/>
    <w:rsid w:val="00A967B8"/>
    <w:rsid w:val="00A968E5"/>
    <w:rsid w:val="00A96F4E"/>
    <w:rsid w:val="00A971E4"/>
    <w:rsid w:val="00A9778C"/>
    <w:rsid w:val="00A97EAF"/>
    <w:rsid w:val="00AA01EE"/>
    <w:rsid w:val="00AA0958"/>
    <w:rsid w:val="00AA0A67"/>
    <w:rsid w:val="00AA12C4"/>
    <w:rsid w:val="00AA1377"/>
    <w:rsid w:val="00AA17E3"/>
    <w:rsid w:val="00AA190D"/>
    <w:rsid w:val="00AA3714"/>
    <w:rsid w:val="00AA3DCA"/>
    <w:rsid w:val="00AA475A"/>
    <w:rsid w:val="00AA4915"/>
    <w:rsid w:val="00AA595B"/>
    <w:rsid w:val="00AA5AE4"/>
    <w:rsid w:val="00AA64EE"/>
    <w:rsid w:val="00AA6E7B"/>
    <w:rsid w:val="00AA7866"/>
    <w:rsid w:val="00AA7EB9"/>
    <w:rsid w:val="00AB016F"/>
    <w:rsid w:val="00AB0C5B"/>
    <w:rsid w:val="00AB174C"/>
    <w:rsid w:val="00AB1DBA"/>
    <w:rsid w:val="00AB2305"/>
    <w:rsid w:val="00AB294F"/>
    <w:rsid w:val="00AB36D1"/>
    <w:rsid w:val="00AB5DEB"/>
    <w:rsid w:val="00AB6030"/>
    <w:rsid w:val="00AB624F"/>
    <w:rsid w:val="00AB68F5"/>
    <w:rsid w:val="00AB6B5C"/>
    <w:rsid w:val="00AB734C"/>
    <w:rsid w:val="00AC0BF8"/>
    <w:rsid w:val="00AC199F"/>
    <w:rsid w:val="00AC1D58"/>
    <w:rsid w:val="00AC2118"/>
    <w:rsid w:val="00AC2443"/>
    <w:rsid w:val="00AC3A7D"/>
    <w:rsid w:val="00AC3F65"/>
    <w:rsid w:val="00AC40FF"/>
    <w:rsid w:val="00AC43E1"/>
    <w:rsid w:val="00AC4A37"/>
    <w:rsid w:val="00AC4B9C"/>
    <w:rsid w:val="00AC65B5"/>
    <w:rsid w:val="00AC65F9"/>
    <w:rsid w:val="00AC6F6D"/>
    <w:rsid w:val="00AC768E"/>
    <w:rsid w:val="00AC7C11"/>
    <w:rsid w:val="00AD2227"/>
    <w:rsid w:val="00AD2704"/>
    <w:rsid w:val="00AD285E"/>
    <w:rsid w:val="00AD2EC7"/>
    <w:rsid w:val="00AD321A"/>
    <w:rsid w:val="00AD366C"/>
    <w:rsid w:val="00AD3B52"/>
    <w:rsid w:val="00AD413C"/>
    <w:rsid w:val="00AD557A"/>
    <w:rsid w:val="00AD56C0"/>
    <w:rsid w:val="00AD57A6"/>
    <w:rsid w:val="00AD5E1E"/>
    <w:rsid w:val="00AD61EC"/>
    <w:rsid w:val="00AD69BA"/>
    <w:rsid w:val="00AD6C5F"/>
    <w:rsid w:val="00AD71A4"/>
    <w:rsid w:val="00AD73CE"/>
    <w:rsid w:val="00AD7859"/>
    <w:rsid w:val="00AD79B7"/>
    <w:rsid w:val="00AE0B54"/>
    <w:rsid w:val="00AE1179"/>
    <w:rsid w:val="00AE1BE4"/>
    <w:rsid w:val="00AE24AF"/>
    <w:rsid w:val="00AE2886"/>
    <w:rsid w:val="00AE3029"/>
    <w:rsid w:val="00AE3112"/>
    <w:rsid w:val="00AE3C64"/>
    <w:rsid w:val="00AE3D1A"/>
    <w:rsid w:val="00AE4771"/>
    <w:rsid w:val="00AE4E68"/>
    <w:rsid w:val="00AE4E9B"/>
    <w:rsid w:val="00AE5092"/>
    <w:rsid w:val="00AE5577"/>
    <w:rsid w:val="00AE62D0"/>
    <w:rsid w:val="00AE7B3D"/>
    <w:rsid w:val="00AF0051"/>
    <w:rsid w:val="00AF0147"/>
    <w:rsid w:val="00AF021A"/>
    <w:rsid w:val="00AF05A6"/>
    <w:rsid w:val="00AF0954"/>
    <w:rsid w:val="00AF12A9"/>
    <w:rsid w:val="00AF33AA"/>
    <w:rsid w:val="00AF3507"/>
    <w:rsid w:val="00AF355E"/>
    <w:rsid w:val="00AF436C"/>
    <w:rsid w:val="00AF4854"/>
    <w:rsid w:val="00AF4C45"/>
    <w:rsid w:val="00AF56A2"/>
    <w:rsid w:val="00AF7727"/>
    <w:rsid w:val="00AF7EA1"/>
    <w:rsid w:val="00B019CA"/>
    <w:rsid w:val="00B01B5E"/>
    <w:rsid w:val="00B02419"/>
    <w:rsid w:val="00B0246E"/>
    <w:rsid w:val="00B03A26"/>
    <w:rsid w:val="00B04ABE"/>
    <w:rsid w:val="00B050C4"/>
    <w:rsid w:val="00B053E7"/>
    <w:rsid w:val="00B05DB6"/>
    <w:rsid w:val="00B065E0"/>
    <w:rsid w:val="00B06A55"/>
    <w:rsid w:val="00B06E5D"/>
    <w:rsid w:val="00B07267"/>
    <w:rsid w:val="00B07937"/>
    <w:rsid w:val="00B07CC2"/>
    <w:rsid w:val="00B07EA1"/>
    <w:rsid w:val="00B10C11"/>
    <w:rsid w:val="00B10FE5"/>
    <w:rsid w:val="00B11047"/>
    <w:rsid w:val="00B118FB"/>
    <w:rsid w:val="00B125DC"/>
    <w:rsid w:val="00B12D8C"/>
    <w:rsid w:val="00B13DAE"/>
    <w:rsid w:val="00B147DC"/>
    <w:rsid w:val="00B154A6"/>
    <w:rsid w:val="00B15A92"/>
    <w:rsid w:val="00B15F87"/>
    <w:rsid w:val="00B173F6"/>
    <w:rsid w:val="00B20D0C"/>
    <w:rsid w:val="00B21034"/>
    <w:rsid w:val="00B2169A"/>
    <w:rsid w:val="00B21A42"/>
    <w:rsid w:val="00B22E3A"/>
    <w:rsid w:val="00B2351F"/>
    <w:rsid w:val="00B23DE2"/>
    <w:rsid w:val="00B2402F"/>
    <w:rsid w:val="00B243DD"/>
    <w:rsid w:val="00B244A6"/>
    <w:rsid w:val="00B264BD"/>
    <w:rsid w:val="00B27410"/>
    <w:rsid w:val="00B30073"/>
    <w:rsid w:val="00B3024B"/>
    <w:rsid w:val="00B30325"/>
    <w:rsid w:val="00B31058"/>
    <w:rsid w:val="00B313C7"/>
    <w:rsid w:val="00B319EF"/>
    <w:rsid w:val="00B321E3"/>
    <w:rsid w:val="00B32B6B"/>
    <w:rsid w:val="00B33351"/>
    <w:rsid w:val="00B3527D"/>
    <w:rsid w:val="00B35CF0"/>
    <w:rsid w:val="00B35F9B"/>
    <w:rsid w:val="00B37D1F"/>
    <w:rsid w:val="00B401ED"/>
    <w:rsid w:val="00B4025A"/>
    <w:rsid w:val="00B40935"/>
    <w:rsid w:val="00B40C70"/>
    <w:rsid w:val="00B40FA4"/>
    <w:rsid w:val="00B419A3"/>
    <w:rsid w:val="00B42068"/>
    <w:rsid w:val="00B42A6B"/>
    <w:rsid w:val="00B42D37"/>
    <w:rsid w:val="00B42EFF"/>
    <w:rsid w:val="00B42F05"/>
    <w:rsid w:val="00B42F87"/>
    <w:rsid w:val="00B43FFE"/>
    <w:rsid w:val="00B441E2"/>
    <w:rsid w:val="00B44642"/>
    <w:rsid w:val="00B44731"/>
    <w:rsid w:val="00B450C9"/>
    <w:rsid w:val="00B467A5"/>
    <w:rsid w:val="00B47DA5"/>
    <w:rsid w:val="00B50218"/>
    <w:rsid w:val="00B50F38"/>
    <w:rsid w:val="00B51002"/>
    <w:rsid w:val="00B5161B"/>
    <w:rsid w:val="00B51EA3"/>
    <w:rsid w:val="00B5251C"/>
    <w:rsid w:val="00B53763"/>
    <w:rsid w:val="00B55603"/>
    <w:rsid w:val="00B5589D"/>
    <w:rsid w:val="00B55A4D"/>
    <w:rsid w:val="00B57B3E"/>
    <w:rsid w:val="00B6066F"/>
    <w:rsid w:val="00B60736"/>
    <w:rsid w:val="00B60BE7"/>
    <w:rsid w:val="00B60D41"/>
    <w:rsid w:val="00B61537"/>
    <w:rsid w:val="00B61A2A"/>
    <w:rsid w:val="00B61F1D"/>
    <w:rsid w:val="00B6209E"/>
    <w:rsid w:val="00B62B6A"/>
    <w:rsid w:val="00B63051"/>
    <w:rsid w:val="00B630B5"/>
    <w:rsid w:val="00B6329E"/>
    <w:rsid w:val="00B63BA3"/>
    <w:rsid w:val="00B63E84"/>
    <w:rsid w:val="00B63EC0"/>
    <w:rsid w:val="00B63FC1"/>
    <w:rsid w:val="00B64DCD"/>
    <w:rsid w:val="00B64F45"/>
    <w:rsid w:val="00B65A89"/>
    <w:rsid w:val="00B670DD"/>
    <w:rsid w:val="00B70D43"/>
    <w:rsid w:val="00B70D5F"/>
    <w:rsid w:val="00B72491"/>
    <w:rsid w:val="00B72875"/>
    <w:rsid w:val="00B72CB5"/>
    <w:rsid w:val="00B730C8"/>
    <w:rsid w:val="00B740BB"/>
    <w:rsid w:val="00B741A4"/>
    <w:rsid w:val="00B7426F"/>
    <w:rsid w:val="00B743EE"/>
    <w:rsid w:val="00B7445C"/>
    <w:rsid w:val="00B752EC"/>
    <w:rsid w:val="00B754A2"/>
    <w:rsid w:val="00B75C92"/>
    <w:rsid w:val="00B76C2F"/>
    <w:rsid w:val="00B76D97"/>
    <w:rsid w:val="00B77391"/>
    <w:rsid w:val="00B77549"/>
    <w:rsid w:val="00B77C03"/>
    <w:rsid w:val="00B77D53"/>
    <w:rsid w:val="00B80060"/>
    <w:rsid w:val="00B802C8"/>
    <w:rsid w:val="00B8046F"/>
    <w:rsid w:val="00B80565"/>
    <w:rsid w:val="00B80A1F"/>
    <w:rsid w:val="00B8225B"/>
    <w:rsid w:val="00B82276"/>
    <w:rsid w:val="00B82AC4"/>
    <w:rsid w:val="00B833C2"/>
    <w:rsid w:val="00B84055"/>
    <w:rsid w:val="00B848F6"/>
    <w:rsid w:val="00B852D5"/>
    <w:rsid w:val="00B85BE3"/>
    <w:rsid w:val="00B86B4B"/>
    <w:rsid w:val="00B86DA5"/>
    <w:rsid w:val="00B874E8"/>
    <w:rsid w:val="00B875D8"/>
    <w:rsid w:val="00B878A9"/>
    <w:rsid w:val="00B905EB"/>
    <w:rsid w:val="00B90A4B"/>
    <w:rsid w:val="00B91539"/>
    <w:rsid w:val="00B9226D"/>
    <w:rsid w:val="00B92711"/>
    <w:rsid w:val="00B93BC7"/>
    <w:rsid w:val="00B94235"/>
    <w:rsid w:val="00B94475"/>
    <w:rsid w:val="00B945DC"/>
    <w:rsid w:val="00B94944"/>
    <w:rsid w:val="00B95090"/>
    <w:rsid w:val="00B950BF"/>
    <w:rsid w:val="00B95380"/>
    <w:rsid w:val="00B954A6"/>
    <w:rsid w:val="00B95F11"/>
    <w:rsid w:val="00B96F1C"/>
    <w:rsid w:val="00B974B5"/>
    <w:rsid w:val="00B97617"/>
    <w:rsid w:val="00B97F54"/>
    <w:rsid w:val="00BA03B9"/>
    <w:rsid w:val="00BA1789"/>
    <w:rsid w:val="00BA23C6"/>
    <w:rsid w:val="00BA2491"/>
    <w:rsid w:val="00BA2FE0"/>
    <w:rsid w:val="00BA32D3"/>
    <w:rsid w:val="00BA37BD"/>
    <w:rsid w:val="00BA37D4"/>
    <w:rsid w:val="00BA3978"/>
    <w:rsid w:val="00BA3B85"/>
    <w:rsid w:val="00BA5D84"/>
    <w:rsid w:val="00BA63F2"/>
    <w:rsid w:val="00BA687F"/>
    <w:rsid w:val="00BA6B90"/>
    <w:rsid w:val="00BA74C6"/>
    <w:rsid w:val="00BB13D2"/>
    <w:rsid w:val="00BB31B0"/>
    <w:rsid w:val="00BB367A"/>
    <w:rsid w:val="00BB36A3"/>
    <w:rsid w:val="00BB3EAE"/>
    <w:rsid w:val="00BB4ACD"/>
    <w:rsid w:val="00BB5CDD"/>
    <w:rsid w:val="00BB671F"/>
    <w:rsid w:val="00BB709C"/>
    <w:rsid w:val="00BC0BBE"/>
    <w:rsid w:val="00BC0DDC"/>
    <w:rsid w:val="00BC1EDA"/>
    <w:rsid w:val="00BC2101"/>
    <w:rsid w:val="00BC2FB0"/>
    <w:rsid w:val="00BC327A"/>
    <w:rsid w:val="00BC367A"/>
    <w:rsid w:val="00BC3932"/>
    <w:rsid w:val="00BC454E"/>
    <w:rsid w:val="00BC496F"/>
    <w:rsid w:val="00BC4F93"/>
    <w:rsid w:val="00BC51F8"/>
    <w:rsid w:val="00BD0AA4"/>
    <w:rsid w:val="00BD252F"/>
    <w:rsid w:val="00BD2DCF"/>
    <w:rsid w:val="00BD381D"/>
    <w:rsid w:val="00BD4260"/>
    <w:rsid w:val="00BD4FAC"/>
    <w:rsid w:val="00BD557E"/>
    <w:rsid w:val="00BD5668"/>
    <w:rsid w:val="00BD631D"/>
    <w:rsid w:val="00BD6D1E"/>
    <w:rsid w:val="00BD782A"/>
    <w:rsid w:val="00BE0147"/>
    <w:rsid w:val="00BE056C"/>
    <w:rsid w:val="00BE0756"/>
    <w:rsid w:val="00BE14C9"/>
    <w:rsid w:val="00BE14CC"/>
    <w:rsid w:val="00BE1907"/>
    <w:rsid w:val="00BE1A74"/>
    <w:rsid w:val="00BE2ED0"/>
    <w:rsid w:val="00BE38E9"/>
    <w:rsid w:val="00BE3E21"/>
    <w:rsid w:val="00BE3FDF"/>
    <w:rsid w:val="00BE41B4"/>
    <w:rsid w:val="00BE4534"/>
    <w:rsid w:val="00BE454E"/>
    <w:rsid w:val="00BE4833"/>
    <w:rsid w:val="00BE4E47"/>
    <w:rsid w:val="00BE5706"/>
    <w:rsid w:val="00BE5856"/>
    <w:rsid w:val="00BE5C7D"/>
    <w:rsid w:val="00BE5CBF"/>
    <w:rsid w:val="00BE5E16"/>
    <w:rsid w:val="00BE5E3B"/>
    <w:rsid w:val="00BE5F1F"/>
    <w:rsid w:val="00BF0D39"/>
    <w:rsid w:val="00BF0F6D"/>
    <w:rsid w:val="00BF1FD7"/>
    <w:rsid w:val="00BF22E2"/>
    <w:rsid w:val="00BF3384"/>
    <w:rsid w:val="00BF387D"/>
    <w:rsid w:val="00BF39D6"/>
    <w:rsid w:val="00BF3D7F"/>
    <w:rsid w:val="00BF40A2"/>
    <w:rsid w:val="00BF4C37"/>
    <w:rsid w:val="00BF4E7A"/>
    <w:rsid w:val="00BF501B"/>
    <w:rsid w:val="00BF6949"/>
    <w:rsid w:val="00BF6A32"/>
    <w:rsid w:val="00BF6C5C"/>
    <w:rsid w:val="00BF7209"/>
    <w:rsid w:val="00BF7608"/>
    <w:rsid w:val="00BF7B1B"/>
    <w:rsid w:val="00BF7DED"/>
    <w:rsid w:val="00C004FF"/>
    <w:rsid w:val="00C005D8"/>
    <w:rsid w:val="00C0164E"/>
    <w:rsid w:val="00C04547"/>
    <w:rsid w:val="00C0487E"/>
    <w:rsid w:val="00C0493E"/>
    <w:rsid w:val="00C07310"/>
    <w:rsid w:val="00C0747B"/>
    <w:rsid w:val="00C075A9"/>
    <w:rsid w:val="00C07B60"/>
    <w:rsid w:val="00C11628"/>
    <w:rsid w:val="00C11AE8"/>
    <w:rsid w:val="00C11CB8"/>
    <w:rsid w:val="00C1212A"/>
    <w:rsid w:val="00C1340F"/>
    <w:rsid w:val="00C13907"/>
    <w:rsid w:val="00C147EE"/>
    <w:rsid w:val="00C15810"/>
    <w:rsid w:val="00C16C6B"/>
    <w:rsid w:val="00C16F61"/>
    <w:rsid w:val="00C17A72"/>
    <w:rsid w:val="00C2019F"/>
    <w:rsid w:val="00C201E2"/>
    <w:rsid w:val="00C20EB8"/>
    <w:rsid w:val="00C20F4E"/>
    <w:rsid w:val="00C21354"/>
    <w:rsid w:val="00C2182E"/>
    <w:rsid w:val="00C231DB"/>
    <w:rsid w:val="00C241B7"/>
    <w:rsid w:val="00C24A8D"/>
    <w:rsid w:val="00C25557"/>
    <w:rsid w:val="00C25EFB"/>
    <w:rsid w:val="00C2649B"/>
    <w:rsid w:val="00C2674A"/>
    <w:rsid w:val="00C27D8F"/>
    <w:rsid w:val="00C30585"/>
    <w:rsid w:val="00C311E0"/>
    <w:rsid w:val="00C315D4"/>
    <w:rsid w:val="00C3164D"/>
    <w:rsid w:val="00C31D87"/>
    <w:rsid w:val="00C31FD4"/>
    <w:rsid w:val="00C320C8"/>
    <w:rsid w:val="00C32D2C"/>
    <w:rsid w:val="00C33D7D"/>
    <w:rsid w:val="00C3421C"/>
    <w:rsid w:val="00C342FF"/>
    <w:rsid w:val="00C34594"/>
    <w:rsid w:val="00C3482D"/>
    <w:rsid w:val="00C34B1F"/>
    <w:rsid w:val="00C34DBD"/>
    <w:rsid w:val="00C34ED0"/>
    <w:rsid w:val="00C36014"/>
    <w:rsid w:val="00C376BF"/>
    <w:rsid w:val="00C37817"/>
    <w:rsid w:val="00C37D30"/>
    <w:rsid w:val="00C4023F"/>
    <w:rsid w:val="00C40A92"/>
    <w:rsid w:val="00C41043"/>
    <w:rsid w:val="00C4178E"/>
    <w:rsid w:val="00C430EF"/>
    <w:rsid w:val="00C432FB"/>
    <w:rsid w:val="00C43360"/>
    <w:rsid w:val="00C444A8"/>
    <w:rsid w:val="00C44F6B"/>
    <w:rsid w:val="00C452D8"/>
    <w:rsid w:val="00C46908"/>
    <w:rsid w:val="00C47898"/>
    <w:rsid w:val="00C47F09"/>
    <w:rsid w:val="00C47FAF"/>
    <w:rsid w:val="00C47FD8"/>
    <w:rsid w:val="00C50336"/>
    <w:rsid w:val="00C526C2"/>
    <w:rsid w:val="00C52CE2"/>
    <w:rsid w:val="00C536E1"/>
    <w:rsid w:val="00C546DA"/>
    <w:rsid w:val="00C564F8"/>
    <w:rsid w:val="00C57698"/>
    <w:rsid w:val="00C60846"/>
    <w:rsid w:val="00C60B6D"/>
    <w:rsid w:val="00C6150C"/>
    <w:rsid w:val="00C61753"/>
    <w:rsid w:val="00C62414"/>
    <w:rsid w:val="00C625F6"/>
    <w:rsid w:val="00C6330A"/>
    <w:rsid w:val="00C650C8"/>
    <w:rsid w:val="00C6535E"/>
    <w:rsid w:val="00C672EC"/>
    <w:rsid w:val="00C67C88"/>
    <w:rsid w:val="00C67F02"/>
    <w:rsid w:val="00C70040"/>
    <w:rsid w:val="00C7098E"/>
    <w:rsid w:val="00C70CEC"/>
    <w:rsid w:val="00C70ED1"/>
    <w:rsid w:val="00C72126"/>
    <w:rsid w:val="00C72832"/>
    <w:rsid w:val="00C73147"/>
    <w:rsid w:val="00C73A16"/>
    <w:rsid w:val="00C74622"/>
    <w:rsid w:val="00C74A8F"/>
    <w:rsid w:val="00C75F58"/>
    <w:rsid w:val="00C763D1"/>
    <w:rsid w:val="00C76775"/>
    <w:rsid w:val="00C767D6"/>
    <w:rsid w:val="00C76DD3"/>
    <w:rsid w:val="00C7714D"/>
    <w:rsid w:val="00C77B70"/>
    <w:rsid w:val="00C80703"/>
    <w:rsid w:val="00C8089C"/>
    <w:rsid w:val="00C8136E"/>
    <w:rsid w:val="00C81658"/>
    <w:rsid w:val="00C8244D"/>
    <w:rsid w:val="00C8328A"/>
    <w:rsid w:val="00C83438"/>
    <w:rsid w:val="00C838AB"/>
    <w:rsid w:val="00C83AC4"/>
    <w:rsid w:val="00C8405B"/>
    <w:rsid w:val="00C845EA"/>
    <w:rsid w:val="00C84B90"/>
    <w:rsid w:val="00C854C1"/>
    <w:rsid w:val="00C86487"/>
    <w:rsid w:val="00C91144"/>
    <w:rsid w:val="00C92549"/>
    <w:rsid w:val="00C927E4"/>
    <w:rsid w:val="00C92952"/>
    <w:rsid w:val="00C92967"/>
    <w:rsid w:val="00C93B68"/>
    <w:rsid w:val="00C94DBF"/>
    <w:rsid w:val="00C95551"/>
    <w:rsid w:val="00C9765B"/>
    <w:rsid w:val="00CA0854"/>
    <w:rsid w:val="00CA1779"/>
    <w:rsid w:val="00CA1961"/>
    <w:rsid w:val="00CA2463"/>
    <w:rsid w:val="00CA25C4"/>
    <w:rsid w:val="00CA2923"/>
    <w:rsid w:val="00CA3B77"/>
    <w:rsid w:val="00CA4B24"/>
    <w:rsid w:val="00CA4B43"/>
    <w:rsid w:val="00CA4BFA"/>
    <w:rsid w:val="00CA4F80"/>
    <w:rsid w:val="00CA5329"/>
    <w:rsid w:val="00CA5B9B"/>
    <w:rsid w:val="00CA62A3"/>
    <w:rsid w:val="00CB08CF"/>
    <w:rsid w:val="00CB0E9E"/>
    <w:rsid w:val="00CB0EE8"/>
    <w:rsid w:val="00CB0F9B"/>
    <w:rsid w:val="00CB1B33"/>
    <w:rsid w:val="00CB3354"/>
    <w:rsid w:val="00CB36A7"/>
    <w:rsid w:val="00CB3A8B"/>
    <w:rsid w:val="00CB415C"/>
    <w:rsid w:val="00CB528E"/>
    <w:rsid w:val="00CB53EE"/>
    <w:rsid w:val="00CB5452"/>
    <w:rsid w:val="00CB6314"/>
    <w:rsid w:val="00CB72B4"/>
    <w:rsid w:val="00CC0433"/>
    <w:rsid w:val="00CC0569"/>
    <w:rsid w:val="00CC15BA"/>
    <w:rsid w:val="00CC19DA"/>
    <w:rsid w:val="00CC321B"/>
    <w:rsid w:val="00CC3D8C"/>
    <w:rsid w:val="00CC4393"/>
    <w:rsid w:val="00CC43E2"/>
    <w:rsid w:val="00CC4490"/>
    <w:rsid w:val="00CC44DA"/>
    <w:rsid w:val="00CC4BC1"/>
    <w:rsid w:val="00CC4DE3"/>
    <w:rsid w:val="00CC6154"/>
    <w:rsid w:val="00CC6815"/>
    <w:rsid w:val="00CC6B8B"/>
    <w:rsid w:val="00CC6DD1"/>
    <w:rsid w:val="00CC6F08"/>
    <w:rsid w:val="00CC778D"/>
    <w:rsid w:val="00CC7DDF"/>
    <w:rsid w:val="00CC7E63"/>
    <w:rsid w:val="00CC7EB8"/>
    <w:rsid w:val="00CD0796"/>
    <w:rsid w:val="00CD12EA"/>
    <w:rsid w:val="00CD171D"/>
    <w:rsid w:val="00CD1C3B"/>
    <w:rsid w:val="00CD2164"/>
    <w:rsid w:val="00CD2610"/>
    <w:rsid w:val="00CD2745"/>
    <w:rsid w:val="00CD2819"/>
    <w:rsid w:val="00CD290F"/>
    <w:rsid w:val="00CD34AC"/>
    <w:rsid w:val="00CD5A8C"/>
    <w:rsid w:val="00CD68AB"/>
    <w:rsid w:val="00CD6945"/>
    <w:rsid w:val="00CD6B89"/>
    <w:rsid w:val="00CD7224"/>
    <w:rsid w:val="00CE012A"/>
    <w:rsid w:val="00CE01BA"/>
    <w:rsid w:val="00CE0A9A"/>
    <w:rsid w:val="00CE104C"/>
    <w:rsid w:val="00CE1DFB"/>
    <w:rsid w:val="00CE21E7"/>
    <w:rsid w:val="00CE272D"/>
    <w:rsid w:val="00CE2C34"/>
    <w:rsid w:val="00CE3533"/>
    <w:rsid w:val="00CE4658"/>
    <w:rsid w:val="00CE4879"/>
    <w:rsid w:val="00CE4BC9"/>
    <w:rsid w:val="00CE5760"/>
    <w:rsid w:val="00CE5A16"/>
    <w:rsid w:val="00CE7E8F"/>
    <w:rsid w:val="00CF1250"/>
    <w:rsid w:val="00CF1596"/>
    <w:rsid w:val="00CF1DCD"/>
    <w:rsid w:val="00CF2156"/>
    <w:rsid w:val="00CF3901"/>
    <w:rsid w:val="00CF4F69"/>
    <w:rsid w:val="00CF5275"/>
    <w:rsid w:val="00CF6025"/>
    <w:rsid w:val="00CF646F"/>
    <w:rsid w:val="00CF654C"/>
    <w:rsid w:val="00CF7BC6"/>
    <w:rsid w:val="00CF7F16"/>
    <w:rsid w:val="00D0000D"/>
    <w:rsid w:val="00D00991"/>
    <w:rsid w:val="00D00C8F"/>
    <w:rsid w:val="00D00C93"/>
    <w:rsid w:val="00D01081"/>
    <w:rsid w:val="00D017C6"/>
    <w:rsid w:val="00D01B06"/>
    <w:rsid w:val="00D01CF4"/>
    <w:rsid w:val="00D01EDE"/>
    <w:rsid w:val="00D036E4"/>
    <w:rsid w:val="00D042B9"/>
    <w:rsid w:val="00D04CEB"/>
    <w:rsid w:val="00D051EC"/>
    <w:rsid w:val="00D056F5"/>
    <w:rsid w:val="00D06E96"/>
    <w:rsid w:val="00D06F83"/>
    <w:rsid w:val="00D07019"/>
    <w:rsid w:val="00D07C7F"/>
    <w:rsid w:val="00D07E12"/>
    <w:rsid w:val="00D101AA"/>
    <w:rsid w:val="00D105A7"/>
    <w:rsid w:val="00D11881"/>
    <w:rsid w:val="00D119A7"/>
    <w:rsid w:val="00D119FC"/>
    <w:rsid w:val="00D13A36"/>
    <w:rsid w:val="00D14E52"/>
    <w:rsid w:val="00D15A02"/>
    <w:rsid w:val="00D16DEA"/>
    <w:rsid w:val="00D17189"/>
    <w:rsid w:val="00D17BBA"/>
    <w:rsid w:val="00D17C27"/>
    <w:rsid w:val="00D2016A"/>
    <w:rsid w:val="00D209C8"/>
    <w:rsid w:val="00D20BAA"/>
    <w:rsid w:val="00D22072"/>
    <w:rsid w:val="00D241A4"/>
    <w:rsid w:val="00D241C4"/>
    <w:rsid w:val="00D24206"/>
    <w:rsid w:val="00D2537D"/>
    <w:rsid w:val="00D26814"/>
    <w:rsid w:val="00D26D5B"/>
    <w:rsid w:val="00D272AE"/>
    <w:rsid w:val="00D27E85"/>
    <w:rsid w:val="00D305FD"/>
    <w:rsid w:val="00D30D89"/>
    <w:rsid w:val="00D30DAF"/>
    <w:rsid w:val="00D3141B"/>
    <w:rsid w:val="00D31999"/>
    <w:rsid w:val="00D31C10"/>
    <w:rsid w:val="00D3226A"/>
    <w:rsid w:val="00D328E5"/>
    <w:rsid w:val="00D32BC6"/>
    <w:rsid w:val="00D32EF5"/>
    <w:rsid w:val="00D337B7"/>
    <w:rsid w:val="00D33A1E"/>
    <w:rsid w:val="00D34594"/>
    <w:rsid w:val="00D3496A"/>
    <w:rsid w:val="00D34ECA"/>
    <w:rsid w:val="00D359A2"/>
    <w:rsid w:val="00D35C8A"/>
    <w:rsid w:val="00D36107"/>
    <w:rsid w:val="00D365DA"/>
    <w:rsid w:val="00D36F80"/>
    <w:rsid w:val="00D377B0"/>
    <w:rsid w:val="00D41374"/>
    <w:rsid w:val="00D41C2A"/>
    <w:rsid w:val="00D425EE"/>
    <w:rsid w:val="00D426E8"/>
    <w:rsid w:val="00D4298D"/>
    <w:rsid w:val="00D42E5D"/>
    <w:rsid w:val="00D45278"/>
    <w:rsid w:val="00D452FB"/>
    <w:rsid w:val="00D457E9"/>
    <w:rsid w:val="00D458F4"/>
    <w:rsid w:val="00D45E5C"/>
    <w:rsid w:val="00D46564"/>
    <w:rsid w:val="00D46751"/>
    <w:rsid w:val="00D468C4"/>
    <w:rsid w:val="00D4745F"/>
    <w:rsid w:val="00D477F3"/>
    <w:rsid w:val="00D47A0A"/>
    <w:rsid w:val="00D500C6"/>
    <w:rsid w:val="00D52588"/>
    <w:rsid w:val="00D52C3B"/>
    <w:rsid w:val="00D52F22"/>
    <w:rsid w:val="00D53267"/>
    <w:rsid w:val="00D5386B"/>
    <w:rsid w:val="00D53954"/>
    <w:rsid w:val="00D53F31"/>
    <w:rsid w:val="00D53FB6"/>
    <w:rsid w:val="00D543E2"/>
    <w:rsid w:val="00D54467"/>
    <w:rsid w:val="00D5515B"/>
    <w:rsid w:val="00D55B33"/>
    <w:rsid w:val="00D55EB7"/>
    <w:rsid w:val="00D56460"/>
    <w:rsid w:val="00D57230"/>
    <w:rsid w:val="00D576BD"/>
    <w:rsid w:val="00D57AF7"/>
    <w:rsid w:val="00D57F10"/>
    <w:rsid w:val="00D60161"/>
    <w:rsid w:val="00D60CB6"/>
    <w:rsid w:val="00D61C88"/>
    <w:rsid w:val="00D625F2"/>
    <w:rsid w:val="00D62A2C"/>
    <w:rsid w:val="00D6361E"/>
    <w:rsid w:val="00D642EE"/>
    <w:rsid w:val="00D64F7B"/>
    <w:rsid w:val="00D65224"/>
    <w:rsid w:val="00D654D0"/>
    <w:rsid w:val="00D65516"/>
    <w:rsid w:val="00D66435"/>
    <w:rsid w:val="00D66557"/>
    <w:rsid w:val="00D66820"/>
    <w:rsid w:val="00D66FF1"/>
    <w:rsid w:val="00D675FA"/>
    <w:rsid w:val="00D67D82"/>
    <w:rsid w:val="00D700EB"/>
    <w:rsid w:val="00D71F72"/>
    <w:rsid w:val="00D7245E"/>
    <w:rsid w:val="00D72A13"/>
    <w:rsid w:val="00D72CF3"/>
    <w:rsid w:val="00D7385F"/>
    <w:rsid w:val="00D742D1"/>
    <w:rsid w:val="00D74509"/>
    <w:rsid w:val="00D746F3"/>
    <w:rsid w:val="00D761A1"/>
    <w:rsid w:val="00D76DBD"/>
    <w:rsid w:val="00D77642"/>
    <w:rsid w:val="00D777DE"/>
    <w:rsid w:val="00D80192"/>
    <w:rsid w:val="00D80C0A"/>
    <w:rsid w:val="00D81B34"/>
    <w:rsid w:val="00D81CA8"/>
    <w:rsid w:val="00D82E7F"/>
    <w:rsid w:val="00D8355C"/>
    <w:rsid w:val="00D83615"/>
    <w:rsid w:val="00D84FC7"/>
    <w:rsid w:val="00D84FE8"/>
    <w:rsid w:val="00D85282"/>
    <w:rsid w:val="00D85787"/>
    <w:rsid w:val="00D87254"/>
    <w:rsid w:val="00D87A44"/>
    <w:rsid w:val="00D87ED8"/>
    <w:rsid w:val="00D90BB0"/>
    <w:rsid w:val="00D90DBE"/>
    <w:rsid w:val="00D91066"/>
    <w:rsid w:val="00D91E69"/>
    <w:rsid w:val="00D91FF0"/>
    <w:rsid w:val="00D92BBC"/>
    <w:rsid w:val="00D92E07"/>
    <w:rsid w:val="00D93662"/>
    <w:rsid w:val="00D94716"/>
    <w:rsid w:val="00D9476D"/>
    <w:rsid w:val="00D954D0"/>
    <w:rsid w:val="00D960A1"/>
    <w:rsid w:val="00D970D6"/>
    <w:rsid w:val="00D97159"/>
    <w:rsid w:val="00D97710"/>
    <w:rsid w:val="00D97C7E"/>
    <w:rsid w:val="00DA128A"/>
    <w:rsid w:val="00DA19F1"/>
    <w:rsid w:val="00DA1D09"/>
    <w:rsid w:val="00DA2874"/>
    <w:rsid w:val="00DA2C8D"/>
    <w:rsid w:val="00DA3CF4"/>
    <w:rsid w:val="00DA50E8"/>
    <w:rsid w:val="00DA5520"/>
    <w:rsid w:val="00DA5567"/>
    <w:rsid w:val="00DA6853"/>
    <w:rsid w:val="00DA79D7"/>
    <w:rsid w:val="00DB249B"/>
    <w:rsid w:val="00DB42D6"/>
    <w:rsid w:val="00DB4D84"/>
    <w:rsid w:val="00DB5DA3"/>
    <w:rsid w:val="00DB5E0A"/>
    <w:rsid w:val="00DB5E7D"/>
    <w:rsid w:val="00DB69B4"/>
    <w:rsid w:val="00DB7558"/>
    <w:rsid w:val="00DC07C0"/>
    <w:rsid w:val="00DC0AED"/>
    <w:rsid w:val="00DC17F1"/>
    <w:rsid w:val="00DC1C85"/>
    <w:rsid w:val="00DC2101"/>
    <w:rsid w:val="00DC212F"/>
    <w:rsid w:val="00DC2D76"/>
    <w:rsid w:val="00DC35A8"/>
    <w:rsid w:val="00DC3F13"/>
    <w:rsid w:val="00DC3F34"/>
    <w:rsid w:val="00DC40C0"/>
    <w:rsid w:val="00DC4199"/>
    <w:rsid w:val="00DC4283"/>
    <w:rsid w:val="00DC441E"/>
    <w:rsid w:val="00DC617D"/>
    <w:rsid w:val="00DC6435"/>
    <w:rsid w:val="00DC72FD"/>
    <w:rsid w:val="00DC7480"/>
    <w:rsid w:val="00DC787F"/>
    <w:rsid w:val="00DD0280"/>
    <w:rsid w:val="00DD0465"/>
    <w:rsid w:val="00DD0BCF"/>
    <w:rsid w:val="00DD0F2F"/>
    <w:rsid w:val="00DD13BF"/>
    <w:rsid w:val="00DD1542"/>
    <w:rsid w:val="00DD1856"/>
    <w:rsid w:val="00DD1DB9"/>
    <w:rsid w:val="00DD2603"/>
    <w:rsid w:val="00DD27FF"/>
    <w:rsid w:val="00DD29A9"/>
    <w:rsid w:val="00DD2E88"/>
    <w:rsid w:val="00DD3FA4"/>
    <w:rsid w:val="00DD42CC"/>
    <w:rsid w:val="00DD511E"/>
    <w:rsid w:val="00DD578C"/>
    <w:rsid w:val="00DD596A"/>
    <w:rsid w:val="00DD7479"/>
    <w:rsid w:val="00DD777A"/>
    <w:rsid w:val="00DD7F1F"/>
    <w:rsid w:val="00DE1DE0"/>
    <w:rsid w:val="00DE1EA0"/>
    <w:rsid w:val="00DE2B6F"/>
    <w:rsid w:val="00DE3A53"/>
    <w:rsid w:val="00DE3F06"/>
    <w:rsid w:val="00DE4515"/>
    <w:rsid w:val="00DE5411"/>
    <w:rsid w:val="00DE545D"/>
    <w:rsid w:val="00DE555D"/>
    <w:rsid w:val="00DE6526"/>
    <w:rsid w:val="00DE65A1"/>
    <w:rsid w:val="00DE6BC2"/>
    <w:rsid w:val="00DF220C"/>
    <w:rsid w:val="00DF296B"/>
    <w:rsid w:val="00DF306D"/>
    <w:rsid w:val="00DF32FA"/>
    <w:rsid w:val="00DF378A"/>
    <w:rsid w:val="00DF3E8D"/>
    <w:rsid w:val="00DF44E4"/>
    <w:rsid w:val="00DF4C6F"/>
    <w:rsid w:val="00DF64DD"/>
    <w:rsid w:val="00DF6798"/>
    <w:rsid w:val="00DF6BF0"/>
    <w:rsid w:val="00DF7801"/>
    <w:rsid w:val="00DF7CE0"/>
    <w:rsid w:val="00E00B9D"/>
    <w:rsid w:val="00E012D7"/>
    <w:rsid w:val="00E03AB9"/>
    <w:rsid w:val="00E04067"/>
    <w:rsid w:val="00E04B46"/>
    <w:rsid w:val="00E04F91"/>
    <w:rsid w:val="00E068FB"/>
    <w:rsid w:val="00E07993"/>
    <w:rsid w:val="00E07BB5"/>
    <w:rsid w:val="00E105A0"/>
    <w:rsid w:val="00E10EAB"/>
    <w:rsid w:val="00E1255C"/>
    <w:rsid w:val="00E1283E"/>
    <w:rsid w:val="00E13310"/>
    <w:rsid w:val="00E13362"/>
    <w:rsid w:val="00E1382E"/>
    <w:rsid w:val="00E13CED"/>
    <w:rsid w:val="00E14568"/>
    <w:rsid w:val="00E14CE1"/>
    <w:rsid w:val="00E153E0"/>
    <w:rsid w:val="00E15B30"/>
    <w:rsid w:val="00E15B9F"/>
    <w:rsid w:val="00E162ED"/>
    <w:rsid w:val="00E163F4"/>
    <w:rsid w:val="00E164C5"/>
    <w:rsid w:val="00E16886"/>
    <w:rsid w:val="00E1692C"/>
    <w:rsid w:val="00E17320"/>
    <w:rsid w:val="00E17B68"/>
    <w:rsid w:val="00E17CB0"/>
    <w:rsid w:val="00E17EAE"/>
    <w:rsid w:val="00E2044B"/>
    <w:rsid w:val="00E20FA2"/>
    <w:rsid w:val="00E22350"/>
    <w:rsid w:val="00E2398D"/>
    <w:rsid w:val="00E23AAA"/>
    <w:rsid w:val="00E23D40"/>
    <w:rsid w:val="00E255F3"/>
    <w:rsid w:val="00E26483"/>
    <w:rsid w:val="00E2668D"/>
    <w:rsid w:val="00E278BB"/>
    <w:rsid w:val="00E3007D"/>
    <w:rsid w:val="00E3061B"/>
    <w:rsid w:val="00E31655"/>
    <w:rsid w:val="00E32DE6"/>
    <w:rsid w:val="00E33678"/>
    <w:rsid w:val="00E34293"/>
    <w:rsid w:val="00E34460"/>
    <w:rsid w:val="00E345EC"/>
    <w:rsid w:val="00E34725"/>
    <w:rsid w:val="00E34DF2"/>
    <w:rsid w:val="00E3568E"/>
    <w:rsid w:val="00E36101"/>
    <w:rsid w:val="00E3630D"/>
    <w:rsid w:val="00E36F2E"/>
    <w:rsid w:val="00E36F65"/>
    <w:rsid w:val="00E376C5"/>
    <w:rsid w:val="00E4092C"/>
    <w:rsid w:val="00E410C6"/>
    <w:rsid w:val="00E41905"/>
    <w:rsid w:val="00E42974"/>
    <w:rsid w:val="00E42AC8"/>
    <w:rsid w:val="00E42FD7"/>
    <w:rsid w:val="00E431C5"/>
    <w:rsid w:val="00E44287"/>
    <w:rsid w:val="00E44CBA"/>
    <w:rsid w:val="00E4671C"/>
    <w:rsid w:val="00E46E2F"/>
    <w:rsid w:val="00E51024"/>
    <w:rsid w:val="00E517C8"/>
    <w:rsid w:val="00E51942"/>
    <w:rsid w:val="00E51B14"/>
    <w:rsid w:val="00E522CF"/>
    <w:rsid w:val="00E5315F"/>
    <w:rsid w:val="00E53E29"/>
    <w:rsid w:val="00E540B8"/>
    <w:rsid w:val="00E555CE"/>
    <w:rsid w:val="00E561F0"/>
    <w:rsid w:val="00E56887"/>
    <w:rsid w:val="00E5769C"/>
    <w:rsid w:val="00E5769E"/>
    <w:rsid w:val="00E57785"/>
    <w:rsid w:val="00E57B6E"/>
    <w:rsid w:val="00E609F1"/>
    <w:rsid w:val="00E61835"/>
    <w:rsid w:val="00E61D08"/>
    <w:rsid w:val="00E61DAC"/>
    <w:rsid w:val="00E62067"/>
    <w:rsid w:val="00E62453"/>
    <w:rsid w:val="00E6269B"/>
    <w:rsid w:val="00E62D9C"/>
    <w:rsid w:val="00E62ED1"/>
    <w:rsid w:val="00E6360F"/>
    <w:rsid w:val="00E639E8"/>
    <w:rsid w:val="00E6429A"/>
    <w:rsid w:val="00E64BD1"/>
    <w:rsid w:val="00E64FF4"/>
    <w:rsid w:val="00E669E3"/>
    <w:rsid w:val="00E6784C"/>
    <w:rsid w:val="00E67C66"/>
    <w:rsid w:val="00E704E7"/>
    <w:rsid w:val="00E708FB"/>
    <w:rsid w:val="00E70D05"/>
    <w:rsid w:val="00E71F63"/>
    <w:rsid w:val="00E72282"/>
    <w:rsid w:val="00E739A3"/>
    <w:rsid w:val="00E74CC6"/>
    <w:rsid w:val="00E7520A"/>
    <w:rsid w:val="00E75421"/>
    <w:rsid w:val="00E75447"/>
    <w:rsid w:val="00E7560B"/>
    <w:rsid w:val="00E760FD"/>
    <w:rsid w:val="00E7687C"/>
    <w:rsid w:val="00E76AE6"/>
    <w:rsid w:val="00E77418"/>
    <w:rsid w:val="00E77849"/>
    <w:rsid w:val="00E7787D"/>
    <w:rsid w:val="00E80D92"/>
    <w:rsid w:val="00E815AC"/>
    <w:rsid w:val="00E81B3A"/>
    <w:rsid w:val="00E824E2"/>
    <w:rsid w:val="00E82572"/>
    <w:rsid w:val="00E82840"/>
    <w:rsid w:val="00E84456"/>
    <w:rsid w:val="00E846CE"/>
    <w:rsid w:val="00E84872"/>
    <w:rsid w:val="00E85406"/>
    <w:rsid w:val="00E85659"/>
    <w:rsid w:val="00E858B1"/>
    <w:rsid w:val="00E8689A"/>
    <w:rsid w:val="00E875B8"/>
    <w:rsid w:val="00E87922"/>
    <w:rsid w:val="00E87BE9"/>
    <w:rsid w:val="00E87BF4"/>
    <w:rsid w:val="00E87E16"/>
    <w:rsid w:val="00E90519"/>
    <w:rsid w:val="00E9090E"/>
    <w:rsid w:val="00E90D64"/>
    <w:rsid w:val="00E9142B"/>
    <w:rsid w:val="00E927CA"/>
    <w:rsid w:val="00E9307D"/>
    <w:rsid w:val="00E93E63"/>
    <w:rsid w:val="00E94B6A"/>
    <w:rsid w:val="00E9620B"/>
    <w:rsid w:val="00E9621A"/>
    <w:rsid w:val="00E9634F"/>
    <w:rsid w:val="00E964C8"/>
    <w:rsid w:val="00E965E0"/>
    <w:rsid w:val="00E966CB"/>
    <w:rsid w:val="00E96EA2"/>
    <w:rsid w:val="00E978A4"/>
    <w:rsid w:val="00EA0A29"/>
    <w:rsid w:val="00EA1B34"/>
    <w:rsid w:val="00EA1E9F"/>
    <w:rsid w:val="00EA1FB5"/>
    <w:rsid w:val="00EA2484"/>
    <w:rsid w:val="00EA2F9C"/>
    <w:rsid w:val="00EA3634"/>
    <w:rsid w:val="00EA3B46"/>
    <w:rsid w:val="00EA4317"/>
    <w:rsid w:val="00EA47AF"/>
    <w:rsid w:val="00EA5706"/>
    <w:rsid w:val="00EA5F71"/>
    <w:rsid w:val="00EA61A4"/>
    <w:rsid w:val="00EA6C47"/>
    <w:rsid w:val="00EA708A"/>
    <w:rsid w:val="00EB05EC"/>
    <w:rsid w:val="00EB0876"/>
    <w:rsid w:val="00EB116F"/>
    <w:rsid w:val="00EB1248"/>
    <w:rsid w:val="00EB18B1"/>
    <w:rsid w:val="00EB1D4D"/>
    <w:rsid w:val="00EB21A2"/>
    <w:rsid w:val="00EB270A"/>
    <w:rsid w:val="00EB2ECD"/>
    <w:rsid w:val="00EB306F"/>
    <w:rsid w:val="00EB4626"/>
    <w:rsid w:val="00EB5B62"/>
    <w:rsid w:val="00EB5C47"/>
    <w:rsid w:val="00EB6002"/>
    <w:rsid w:val="00EB67EB"/>
    <w:rsid w:val="00EB6981"/>
    <w:rsid w:val="00EB6CDA"/>
    <w:rsid w:val="00EB7100"/>
    <w:rsid w:val="00EB782F"/>
    <w:rsid w:val="00EB7AA6"/>
    <w:rsid w:val="00EC0F4B"/>
    <w:rsid w:val="00EC1918"/>
    <w:rsid w:val="00EC19A7"/>
    <w:rsid w:val="00EC20C1"/>
    <w:rsid w:val="00EC238B"/>
    <w:rsid w:val="00EC2978"/>
    <w:rsid w:val="00EC30D1"/>
    <w:rsid w:val="00EC317F"/>
    <w:rsid w:val="00EC35F8"/>
    <w:rsid w:val="00EC37BD"/>
    <w:rsid w:val="00EC4470"/>
    <w:rsid w:val="00EC48C3"/>
    <w:rsid w:val="00EC4924"/>
    <w:rsid w:val="00EC547C"/>
    <w:rsid w:val="00EC56FA"/>
    <w:rsid w:val="00EC5F4F"/>
    <w:rsid w:val="00EC6411"/>
    <w:rsid w:val="00EC650E"/>
    <w:rsid w:val="00EC6CF6"/>
    <w:rsid w:val="00EC6E66"/>
    <w:rsid w:val="00EC7779"/>
    <w:rsid w:val="00EC7B4C"/>
    <w:rsid w:val="00ED04B3"/>
    <w:rsid w:val="00ED1414"/>
    <w:rsid w:val="00ED1654"/>
    <w:rsid w:val="00ED2632"/>
    <w:rsid w:val="00ED28D7"/>
    <w:rsid w:val="00ED34B5"/>
    <w:rsid w:val="00ED3716"/>
    <w:rsid w:val="00ED4071"/>
    <w:rsid w:val="00ED421C"/>
    <w:rsid w:val="00ED4EC5"/>
    <w:rsid w:val="00ED59FD"/>
    <w:rsid w:val="00ED5FC4"/>
    <w:rsid w:val="00ED64F9"/>
    <w:rsid w:val="00ED67A1"/>
    <w:rsid w:val="00ED69E0"/>
    <w:rsid w:val="00ED7563"/>
    <w:rsid w:val="00ED78CF"/>
    <w:rsid w:val="00EE011F"/>
    <w:rsid w:val="00EE08E7"/>
    <w:rsid w:val="00EE0F8C"/>
    <w:rsid w:val="00EE1019"/>
    <w:rsid w:val="00EE1DE4"/>
    <w:rsid w:val="00EE492E"/>
    <w:rsid w:val="00EE4B47"/>
    <w:rsid w:val="00EE5756"/>
    <w:rsid w:val="00EE6DBC"/>
    <w:rsid w:val="00EE77AA"/>
    <w:rsid w:val="00EF00DA"/>
    <w:rsid w:val="00EF0346"/>
    <w:rsid w:val="00EF0792"/>
    <w:rsid w:val="00EF08CE"/>
    <w:rsid w:val="00EF20A9"/>
    <w:rsid w:val="00EF2110"/>
    <w:rsid w:val="00EF3E0C"/>
    <w:rsid w:val="00EF4277"/>
    <w:rsid w:val="00EF479D"/>
    <w:rsid w:val="00EF5CA6"/>
    <w:rsid w:val="00EF69A4"/>
    <w:rsid w:val="00EF6C6E"/>
    <w:rsid w:val="00EF7981"/>
    <w:rsid w:val="00EF7F80"/>
    <w:rsid w:val="00F01652"/>
    <w:rsid w:val="00F01969"/>
    <w:rsid w:val="00F0205F"/>
    <w:rsid w:val="00F021FD"/>
    <w:rsid w:val="00F023BC"/>
    <w:rsid w:val="00F026A8"/>
    <w:rsid w:val="00F02836"/>
    <w:rsid w:val="00F03451"/>
    <w:rsid w:val="00F0426C"/>
    <w:rsid w:val="00F04592"/>
    <w:rsid w:val="00F04A1D"/>
    <w:rsid w:val="00F05171"/>
    <w:rsid w:val="00F05AE6"/>
    <w:rsid w:val="00F06330"/>
    <w:rsid w:val="00F0690B"/>
    <w:rsid w:val="00F06A60"/>
    <w:rsid w:val="00F06B46"/>
    <w:rsid w:val="00F06B73"/>
    <w:rsid w:val="00F06DB2"/>
    <w:rsid w:val="00F076DF"/>
    <w:rsid w:val="00F07F66"/>
    <w:rsid w:val="00F10296"/>
    <w:rsid w:val="00F10F1A"/>
    <w:rsid w:val="00F113D9"/>
    <w:rsid w:val="00F11AA9"/>
    <w:rsid w:val="00F11AF7"/>
    <w:rsid w:val="00F11B2E"/>
    <w:rsid w:val="00F12D80"/>
    <w:rsid w:val="00F13674"/>
    <w:rsid w:val="00F16092"/>
    <w:rsid w:val="00F165CB"/>
    <w:rsid w:val="00F16A47"/>
    <w:rsid w:val="00F174D1"/>
    <w:rsid w:val="00F176AB"/>
    <w:rsid w:val="00F17BC3"/>
    <w:rsid w:val="00F20FCD"/>
    <w:rsid w:val="00F22130"/>
    <w:rsid w:val="00F2243E"/>
    <w:rsid w:val="00F2275D"/>
    <w:rsid w:val="00F22FD2"/>
    <w:rsid w:val="00F239FD"/>
    <w:rsid w:val="00F240C9"/>
    <w:rsid w:val="00F24502"/>
    <w:rsid w:val="00F24953"/>
    <w:rsid w:val="00F24E06"/>
    <w:rsid w:val="00F252A9"/>
    <w:rsid w:val="00F25ADE"/>
    <w:rsid w:val="00F26167"/>
    <w:rsid w:val="00F27067"/>
    <w:rsid w:val="00F27A25"/>
    <w:rsid w:val="00F27BDD"/>
    <w:rsid w:val="00F30545"/>
    <w:rsid w:val="00F3144E"/>
    <w:rsid w:val="00F31EB7"/>
    <w:rsid w:val="00F32198"/>
    <w:rsid w:val="00F323D6"/>
    <w:rsid w:val="00F324D4"/>
    <w:rsid w:val="00F3341C"/>
    <w:rsid w:val="00F33884"/>
    <w:rsid w:val="00F33C94"/>
    <w:rsid w:val="00F34E50"/>
    <w:rsid w:val="00F34E9C"/>
    <w:rsid w:val="00F35297"/>
    <w:rsid w:val="00F3669D"/>
    <w:rsid w:val="00F36D02"/>
    <w:rsid w:val="00F37BFB"/>
    <w:rsid w:val="00F40AF4"/>
    <w:rsid w:val="00F40DAC"/>
    <w:rsid w:val="00F4162C"/>
    <w:rsid w:val="00F4444C"/>
    <w:rsid w:val="00F44733"/>
    <w:rsid w:val="00F44A94"/>
    <w:rsid w:val="00F44C49"/>
    <w:rsid w:val="00F451C9"/>
    <w:rsid w:val="00F45A6A"/>
    <w:rsid w:val="00F463A8"/>
    <w:rsid w:val="00F47731"/>
    <w:rsid w:val="00F50A1F"/>
    <w:rsid w:val="00F51042"/>
    <w:rsid w:val="00F51BDF"/>
    <w:rsid w:val="00F51D5A"/>
    <w:rsid w:val="00F52E17"/>
    <w:rsid w:val="00F5327B"/>
    <w:rsid w:val="00F540CB"/>
    <w:rsid w:val="00F544E3"/>
    <w:rsid w:val="00F548AD"/>
    <w:rsid w:val="00F54B80"/>
    <w:rsid w:val="00F54BFF"/>
    <w:rsid w:val="00F5526D"/>
    <w:rsid w:val="00F558D6"/>
    <w:rsid w:val="00F55B5A"/>
    <w:rsid w:val="00F55ECE"/>
    <w:rsid w:val="00F561FC"/>
    <w:rsid w:val="00F57A54"/>
    <w:rsid w:val="00F60DED"/>
    <w:rsid w:val="00F60F14"/>
    <w:rsid w:val="00F60F17"/>
    <w:rsid w:val="00F62CD2"/>
    <w:rsid w:val="00F6331F"/>
    <w:rsid w:val="00F6382E"/>
    <w:rsid w:val="00F648FC"/>
    <w:rsid w:val="00F64D5C"/>
    <w:rsid w:val="00F657DD"/>
    <w:rsid w:val="00F66344"/>
    <w:rsid w:val="00F66F6E"/>
    <w:rsid w:val="00F67C09"/>
    <w:rsid w:val="00F70E22"/>
    <w:rsid w:val="00F71100"/>
    <w:rsid w:val="00F714E1"/>
    <w:rsid w:val="00F71D27"/>
    <w:rsid w:val="00F721DC"/>
    <w:rsid w:val="00F733F9"/>
    <w:rsid w:val="00F73658"/>
    <w:rsid w:val="00F74AEE"/>
    <w:rsid w:val="00F75B1F"/>
    <w:rsid w:val="00F76829"/>
    <w:rsid w:val="00F77293"/>
    <w:rsid w:val="00F8023A"/>
    <w:rsid w:val="00F81E43"/>
    <w:rsid w:val="00F81F47"/>
    <w:rsid w:val="00F8244B"/>
    <w:rsid w:val="00F82DE7"/>
    <w:rsid w:val="00F840AC"/>
    <w:rsid w:val="00F851FB"/>
    <w:rsid w:val="00F8522B"/>
    <w:rsid w:val="00F85D44"/>
    <w:rsid w:val="00F86801"/>
    <w:rsid w:val="00F8680D"/>
    <w:rsid w:val="00F86812"/>
    <w:rsid w:val="00F87582"/>
    <w:rsid w:val="00F8765A"/>
    <w:rsid w:val="00F878B7"/>
    <w:rsid w:val="00F906D1"/>
    <w:rsid w:val="00F9079B"/>
    <w:rsid w:val="00F913A7"/>
    <w:rsid w:val="00F91D92"/>
    <w:rsid w:val="00F923F7"/>
    <w:rsid w:val="00F93271"/>
    <w:rsid w:val="00F934EC"/>
    <w:rsid w:val="00F93F85"/>
    <w:rsid w:val="00F9411C"/>
    <w:rsid w:val="00F9495A"/>
    <w:rsid w:val="00F94EF8"/>
    <w:rsid w:val="00F95340"/>
    <w:rsid w:val="00F95DD7"/>
    <w:rsid w:val="00F95EE0"/>
    <w:rsid w:val="00FA0014"/>
    <w:rsid w:val="00FA094E"/>
    <w:rsid w:val="00FA27BE"/>
    <w:rsid w:val="00FA2F0D"/>
    <w:rsid w:val="00FA31ED"/>
    <w:rsid w:val="00FA32ED"/>
    <w:rsid w:val="00FA368C"/>
    <w:rsid w:val="00FA453F"/>
    <w:rsid w:val="00FA473F"/>
    <w:rsid w:val="00FA53E0"/>
    <w:rsid w:val="00FA7954"/>
    <w:rsid w:val="00FB0122"/>
    <w:rsid w:val="00FB017C"/>
    <w:rsid w:val="00FB0A0D"/>
    <w:rsid w:val="00FB0B24"/>
    <w:rsid w:val="00FB1A03"/>
    <w:rsid w:val="00FB1AF3"/>
    <w:rsid w:val="00FB2095"/>
    <w:rsid w:val="00FB29F5"/>
    <w:rsid w:val="00FB2CE5"/>
    <w:rsid w:val="00FB37EC"/>
    <w:rsid w:val="00FB394C"/>
    <w:rsid w:val="00FB40F2"/>
    <w:rsid w:val="00FB44A7"/>
    <w:rsid w:val="00FB5ACD"/>
    <w:rsid w:val="00FB5B88"/>
    <w:rsid w:val="00FB5C59"/>
    <w:rsid w:val="00FB6BE4"/>
    <w:rsid w:val="00FB7333"/>
    <w:rsid w:val="00FC0417"/>
    <w:rsid w:val="00FC0531"/>
    <w:rsid w:val="00FC166F"/>
    <w:rsid w:val="00FC1ABD"/>
    <w:rsid w:val="00FC2182"/>
    <w:rsid w:val="00FC3217"/>
    <w:rsid w:val="00FC36D6"/>
    <w:rsid w:val="00FC36F7"/>
    <w:rsid w:val="00FC395B"/>
    <w:rsid w:val="00FC4460"/>
    <w:rsid w:val="00FC4716"/>
    <w:rsid w:val="00FC4F76"/>
    <w:rsid w:val="00FC54E9"/>
    <w:rsid w:val="00FC5713"/>
    <w:rsid w:val="00FC612D"/>
    <w:rsid w:val="00FC6745"/>
    <w:rsid w:val="00FC6F71"/>
    <w:rsid w:val="00FC79D8"/>
    <w:rsid w:val="00FD0BD8"/>
    <w:rsid w:val="00FD2767"/>
    <w:rsid w:val="00FD28F5"/>
    <w:rsid w:val="00FD452E"/>
    <w:rsid w:val="00FD4608"/>
    <w:rsid w:val="00FD4913"/>
    <w:rsid w:val="00FD55D1"/>
    <w:rsid w:val="00FD5A5C"/>
    <w:rsid w:val="00FD6954"/>
    <w:rsid w:val="00FD6F10"/>
    <w:rsid w:val="00FD70A9"/>
    <w:rsid w:val="00FD71E8"/>
    <w:rsid w:val="00FE0507"/>
    <w:rsid w:val="00FE09D7"/>
    <w:rsid w:val="00FE1166"/>
    <w:rsid w:val="00FE1EC6"/>
    <w:rsid w:val="00FE2D68"/>
    <w:rsid w:val="00FE2DAC"/>
    <w:rsid w:val="00FE312A"/>
    <w:rsid w:val="00FE3953"/>
    <w:rsid w:val="00FE3B9C"/>
    <w:rsid w:val="00FE3C25"/>
    <w:rsid w:val="00FE3ECC"/>
    <w:rsid w:val="00FE4A06"/>
    <w:rsid w:val="00FE4FBE"/>
    <w:rsid w:val="00FE53C8"/>
    <w:rsid w:val="00FE55C3"/>
    <w:rsid w:val="00FE616B"/>
    <w:rsid w:val="00FE654D"/>
    <w:rsid w:val="00FE682F"/>
    <w:rsid w:val="00FE6F2A"/>
    <w:rsid w:val="00FE6F36"/>
    <w:rsid w:val="00FE76CB"/>
    <w:rsid w:val="00FE7B87"/>
    <w:rsid w:val="00FF0404"/>
    <w:rsid w:val="00FF1157"/>
    <w:rsid w:val="00FF11EF"/>
    <w:rsid w:val="00FF12FF"/>
    <w:rsid w:val="00FF134C"/>
    <w:rsid w:val="00FF1E85"/>
    <w:rsid w:val="00FF2741"/>
    <w:rsid w:val="00FF2892"/>
    <w:rsid w:val="00FF2CA0"/>
    <w:rsid w:val="00FF366F"/>
    <w:rsid w:val="00FF39B9"/>
    <w:rsid w:val="00FF3E2F"/>
    <w:rsid w:val="00FF4277"/>
    <w:rsid w:val="00FF4E45"/>
    <w:rsid w:val="00FF57C8"/>
    <w:rsid w:val="00FF62A4"/>
    <w:rsid w:val="00FF63FA"/>
    <w:rsid w:val="00FF657F"/>
    <w:rsid w:val="00FF7438"/>
    <w:rsid w:val="00FF744D"/>
    <w:rsid w:val="00FF74A8"/>
    <w:rsid w:val="00FF7A70"/>
    <w:rsid w:val="01267B31"/>
    <w:rsid w:val="01310AD2"/>
    <w:rsid w:val="0149DAC0"/>
    <w:rsid w:val="018C586A"/>
    <w:rsid w:val="036D06D4"/>
    <w:rsid w:val="06075015"/>
    <w:rsid w:val="060C47FD"/>
    <w:rsid w:val="068CCFD0"/>
    <w:rsid w:val="06AD8788"/>
    <w:rsid w:val="0761CF31"/>
    <w:rsid w:val="07B37903"/>
    <w:rsid w:val="08A1A119"/>
    <w:rsid w:val="0930D447"/>
    <w:rsid w:val="0A01F95E"/>
    <w:rsid w:val="0BFBB7C3"/>
    <w:rsid w:val="0C925646"/>
    <w:rsid w:val="0EAC7733"/>
    <w:rsid w:val="0F123044"/>
    <w:rsid w:val="1023E879"/>
    <w:rsid w:val="106E0E6A"/>
    <w:rsid w:val="120FFA3B"/>
    <w:rsid w:val="12209DE5"/>
    <w:rsid w:val="124AD3BB"/>
    <w:rsid w:val="12603863"/>
    <w:rsid w:val="1607DE84"/>
    <w:rsid w:val="16C1AA06"/>
    <w:rsid w:val="17446D31"/>
    <w:rsid w:val="18DEE03D"/>
    <w:rsid w:val="1CB4CED4"/>
    <w:rsid w:val="1CEBC6BF"/>
    <w:rsid w:val="1CEC27DA"/>
    <w:rsid w:val="200CBC99"/>
    <w:rsid w:val="2023F496"/>
    <w:rsid w:val="21CF58BE"/>
    <w:rsid w:val="21D42385"/>
    <w:rsid w:val="2268B6BE"/>
    <w:rsid w:val="232A3087"/>
    <w:rsid w:val="232CD5F3"/>
    <w:rsid w:val="24174472"/>
    <w:rsid w:val="2482CB24"/>
    <w:rsid w:val="249808E1"/>
    <w:rsid w:val="2613A472"/>
    <w:rsid w:val="27913887"/>
    <w:rsid w:val="287EBD3B"/>
    <w:rsid w:val="288E4C83"/>
    <w:rsid w:val="2A0C2189"/>
    <w:rsid w:val="2CB06B27"/>
    <w:rsid w:val="30166F70"/>
    <w:rsid w:val="31B309B8"/>
    <w:rsid w:val="31FBE61E"/>
    <w:rsid w:val="32091E7A"/>
    <w:rsid w:val="3245F382"/>
    <w:rsid w:val="32ABF1A3"/>
    <w:rsid w:val="32DC2384"/>
    <w:rsid w:val="3646EB8D"/>
    <w:rsid w:val="365CB9B6"/>
    <w:rsid w:val="37699211"/>
    <w:rsid w:val="3818E07E"/>
    <w:rsid w:val="38CD9A31"/>
    <w:rsid w:val="3AE532BC"/>
    <w:rsid w:val="3B9812F9"/>
    <w:rsid w:val="3BE8506C"/>
    <w:rsid w:val="3DA6ADA2"/>
    <w:rsid w:val="3EC95D91"/>
    <w:rsid w:val="3F9648A6"/>
    <w:rsid w:val="40867487"/>
    <w:rsid w:val="41032001"/>
    <w:rsid w:val="427E5240"/>
    <w:rsid w:val="42C42936"/>
    <w:rsid w:val="44710584"/>
    <w:rsid w:val="448FCE1E"/>
    <w:rsid w:val="449AFB5B"/>
    <w:rsid w:val="455558E7"/>
    <w:rsid w:val="4576EF52"/>
    <w:rsid w:val="4586BB98"/>
    <w:rsid w:val="47D90B92"/>
    <w:rsid w:val="4867CA1D"/>
    <w:rsid w:val="49174785"/>
    <w:rsid w:val="49C23F57"/>
    <w:rsid w:val="4A0A4087"/>
    <w:rsid w:val="4CDCB0D2"/>
    <w:rsid w:val="4D8712D8"/>
    <w:rsid w:val="4E20C23E"/>
    <w:rsid w:val="4F3A5766"/>
    <w:rsid w:val="4FC88B7C"/>
    <w:rsid w:val="522B73BE"/>
    <w:rsid w:val="527E3A0E"/>
    <w:rsid w:val="53F83C84"/>
    <w:rsid w:val="5416087E"/>
    <w:rsid w:val="5418CE68"/>
    <w:rsid w:val="545C3261"/>
    <w:rsid w:val="546C461F"/>
    <w:rsid w:val="5478BB17"/>
    <w:rsid w:val="548A6EC3"/>
    <w:rsid w:val="5499AF94"/>
    <w:rsid w:val="54D6A4C9"/>
    <w:rsid w:val="55FB7204"/>
    <w:rsid w:val="562BA290"/>
    <w:rsid w:val="56774B16"/>
    <w:rsid w:val="57FCAF7B"/>
    <w:rsid w:val="59F7DE42"/>
    <w:rsid w:val="5AEA3C72"/>
    <w:rsid w:val="5C7B5BCC"/>
    <w:rsid w:val="5CC7C002"/>
    <w:rsid w:val="5D0CCFA1"/>
    <w:rsid w:val="5D5560DF"/>
    <w:rsid w:val="5E900A16"/>
    <w:rsid w:val="64A92951"/>
    <w:rsid w:val="65325E75"/>
    <w:rsid w:val="65DF50AE"/>
    <w:rsid w:val="66201915"/>
    <w:rsid w:val="6671636C"/>
    <w:rsid w:val="683A7A11"/>
    <w:rsid w:val="6CAC545D"/>
    <w:rsid w:val="6CE8C9D1"/>
    <w:rsid w:val="6E202CD2"/>
    <w:rsid w:val="6ECF1038"/>
    <w:rsid w:val="70309C0F"/>
    <w:rsid w:val="705190F2"/>
    <w:rsid w:val="7122C357"/>
    <w:rsid w:val="73138B56"/>
    <w:rsid w:val="7357F540"/>
    <w:rsid w:val="738E3BFE"/>
    <w:rsid w:val="73BAF92B"/>
    <w:rsid w:val="7435B80D"/>
    <w:rsid w:val="75371A12"/>
    <w:rsid w:val="767065A4"/>
    <w:rsid w:val="76C0A07E"/>
    <w:rsid w:val="7C0BEFE1"/>
    <w:rsid w:val="7C567D29"/>
    <w:rsid w:val="7EE02AC3"/>
    <w:rsid w:val="7F5C28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E9C5E"/>
  <w15:chartTrackingRefBased/>
  <w15:docId w15:val="{DB82673D-6BB7-4843-AFB4-1843ADDD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C3"/>
    <w:rPr>
      <w:sz w:val="20"/>
    </w:rPr>
  </w:style>
  <w:style w:type="paragraph" w:styleId="Heading1">
    <w:name w:val="heading 1"/>
    <w:basedOn w:val="Normal"/>
    <w:next w:val="BodyText"/>
    <w:link w:val="Heading1Char"/>
    <w:qFormat/>
    <w:rsid w:val="00282397"/>
    <w:pPr>
      <w:keepNext/>
      <w:tabs>
        <w:tab w:val="left" w:pos="284"/>
      </w:tabs>
      <w:spacing w:before="600" w:after="400" w:line="240" w:lineRule="auto"/>
      <w:outlineLvl w:val="0"/>
    </w:pPr>
    <w:rPr>
      <w:rFonts w:ascii="Arial" w:eastAsia="Times New Roman" w:hAnsi="Arial" w:cs="Times New Roman"/>
      <w:caps/>
      <w:color w:val="1D3278"/>
      <w:kern w:val="28"/>
      <w:sz w:val="40"/>
      <w:szCs w:val="36"/>
    </w:rPr>
  </w:style>
  <w:style w:type="paragraph" w:styleId="Heading2">
    <w:name w:val="heading 2"/>
    <w:basedOn w:val="Normal"/>
    <w:next w:val="BodyText"/>
    <w:link w:val="Heading2Char"/>
    <w:qFormat/>
    <w:rsid w:val="00821BB0"/>
    <w:pPr>
      <w:keepNext/>
      <w:widowControl w:val="0"/>
      <w:numPr>
        <w:numId w:val="1"/>
      </w:numPr>
      <w:pBdr>
        <w:bottom w:val="single" w:sz="4" w:space="4" w:color="53C8E9"/>
      </w:pBdr>
      <w:spacing w:before="240" w:after="100" w:line="240" w:lineRule="auto"/>
      <w:outlineLvl w:val="1"/>
    </w:pPr>
    <w:rPr>
      <w:rFonts w:ascii="Arial Bold" w:eastAsia="Times New Roman" w:hAnsi="Arial Bold" w:cs="Times New Roman"/>
      <w:b/>
      <w:color w:val="53C8E9"/>
      <w:kern w:val="28"/>
      <w:sz w:val="28"/>
      <w:szCs w:val="36"/>
    </w:rPr>
  </w:style>
  <w:style w:type="paragraph" w:styleId="Heading3">
    <w:name w:val="heading 3"/>
    <w:basedOn w:val="Heading2"/>
    <w:next w:val="BodyText"/>
    <w:link w:val="Heading3Char"/>
    <w:qFormat/>
    <w:rsid w:val="00C60B6D"/>
    <w:pPr>
      <w:numPr>
        <w:numId w:val="0"/>
      </w:numPr>
      <w:pBdr>
        <w:bottom w:val="none" w:sz="0" w:space="0" w:color="auto"/>
      </w:pBdr>
      <w:spacing w:before="320" w:after="120" w:line="320" w:lineRule="atLeast"/>
      <w:outlineLvl w:val="2"/>
    </w:pPr>
    <w:rPr>
      <w:color w:val="auto"/>
      <w:sz w:val="26"/>
    </w:rPr>
  </w:style>
  <w:style w:type="paragraph" w:styleId="Heading4">
    <w:name w:val="heading 4"/>
    <w:basedOn w:val="Heading3"/>
    <w:next w:val="Normal"/>
    <w:link w:val="Heading4Char"/>
    <w:qFormat/>
    <w:rsid w:val="00C763D1"/>
    <w:pPr>
      <w:spacing w:before="240" w:after="100"/>
      <w:outlineLvl w:val="3"/>
    </w:pPr>
    <w:rPr>
      <w:color w:val="00426F"/>
      <w:sz w:val="25"/>
    </w:rPr>
  </w:style>
  <w:style w:type="paragraph" w:styleId="Heading5">
    <w:name w:val="heading 5"/>
    <w:basedOn w:val="Heading4"/>
    <w:next w:val="BodyText"/>
    <w:link w:val="Heading5Char"/>
    <w:qFormat/>
    <w:rsid w:val="003D4D5B"/>
    <w:pPr>
      <w:spacing w:after="60"/>
      <w:outlineLvl w:val="4"/>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397"/>
    <w:rPr>
      <w:rFonts w:ascii="Arial" w:eastAsia="Times New Roman" w:hAnsi="Arial" w:cs="Times New Roman"/>
      <w:caps/>
      <w:color w:val="1D3278"/>
      <w:kern w:val="28"/>
      <w:sz w:val="40"/>
      <w:szCs w:val="36"/>
    </w:rPr>
  </w:style>
  <w:style w:type="character" w:customStyle="1" w:styleId="Heading2Char">
    <w:name w:val="Heading 2 Char"/>
    <w:basedOn w:val="DefaultParagraphFont"/>
    <w:link w:val="Heading2"/>
    <w:rsid w:val="00821BB0"/>
    <w:rPr>
      <w:rFonts w:ascii="Arial Bold" w:eastAsia="Times New Roman" w:hAnsi="Arial Bold" w:cs="Times New Roman"/>
      <w:b/>
      <w:color w:val="53C8E9"/>
      <w:kern w:val="28"/>
      <w:sz w:val="28"/>
      <w:szCs w:val="36"/>
    </w:rPr>
  </w:style>
  <w:style w:type="character" w:customStyle="1" w:styleId="Heading3Char">
    <w:name w:val="Heading 3 Char"/>
    <w:basedOn w:val="DefaultParagraphFont"/>
    <w:link w:val="Heading3"/>
    <w:rsid w:val="00C60B6D"/>
    <w:rPr>
      <w:rFonts w:ascii="Arial Bold" w:eastAsia="Times New Roman" w:hAnsi="Arial Bold" w:cs="Times New Roman"/>
      <w:b/>
      <w:kern w:val="28"/>
      <w:sz w:val="26"/>
      <w:szCs w:val="36"/>
    </w:rPr>
  </w:style>
  <w:style w:type="paragraph" w:styleId="BodyText">
    <w:name w:val="Body Text"/>
    <w:link w:val="BodyTextChar"/>
    <w:autoRedefine/>
    <w:rsid w:val="004052A2"/>
    <w:pPr>
      <w:spacing w:before="160" w:after="100" w:line="240" w:lineRule="auto"/>
    </w:pPr>
    <w:rPr>
      <w:rFonts w:ascii="Arial" w:hAnsi="Arial" w:cs="Arial"/>
      <w:bCs/>
      <w:sz w:val="23"/>
      <w:szCs w:val="20"/>
    </w:rPr>
  </w:style>
  <w:style w:type="character" w:customStyle="1" w:styleId="BodyTextChar">
    <w:name w:val="Body Text Char"/>
    <w:basedOn w:val="DefaultParagraphFont"/>
    <w:link w:val="BodyText"/>
    <w:rsid w:val="004052A2"/>
    <w:rPr>
      <w:rFonts w:ascii="Arial" w:hAnsi="Arial" w:cs="Arial"/>
      <w:bCs/>
      <w:sz w:val="23"/>
      <w:szCs w:val="20"/>
    </w:rPr>
  </w:style>
  <w:style w:type="paragraph" w:customStyle="1" w:styleId="Bullet1">
    <w:name w:val="Bullet 1"/>
    <w:basedOn w:val="BodyText"/>
    <w:link w:val="Bullet1Char"/>
    <w:autoRedefine/>
    <w:qFormat/>
    <w:rsid w:val="001F35B3"/>
    <w:pPr>
      <w:numPr>
        <w:numId w:val="15"/>
      </w:numPr>
      <w:spacing w:before="120" w:after="80"/>
    </w:pPr>
    <w:rPr>
      <w:rFonts w:eastAsia="Times New Roman"/>
    </w:rPr>
  </w:style>
  <w:style w:type="character" w:customStyle="1" w:styleId="Bullet1Char">
    <w:name w:val="Bullet 1 Char"/>
    <w:link w:val="Bullet1"/>
    <w:rsid w:val="00C763D1"/>
    <w:rPr>
      <w:rFonts w:ascii="Arial" w:eastAsia="Times New Roman" w:hAnsi="Arial" w:cs="Arial"/>
      <w:bCs/>
      <w:sz w:val="23"/>
      <w:szCs w:val="20"/>
    </w:rPr>
  </w:style>
  <w:style w:type="paragraph" w:customStyle="1" w:styleId="Bullet2">
    <w:name w:val="Bullet 2"/>
    <w:basedOn w:val="Bullet1"/>
    <w:rsid w:val="00535684"/>
    <w:pPr>
      <w:numPr>
        <w:numId w:val="17"/>
      </w:numPr>
      <w:tabs>
        <w:tab w:val="clear" w:pos="785"/>
        <w:tab w:val="left" w:pos="851"/>
      </w:tabs>
      <w:spacing w:line="240" w:lineRule="atLeast"/>
    </w:pPr>
    <w:rPr>
      <w:bCs w:val="0"/>
    </w:rPr>
  </w:style>
  <w:style w:type="paragraph" w:customStyle="1" w:styleId="Chart4X">
    <w:name w:val="Chart 4.X"/>
    <w:basedOn w:val="Normal"/>
    <w:next w:val="Normal"/>
    <w:rsid w:val="009E49AE"/>
    <w:pPr>
      <w:keepLines/>
      <w:widowControl w:val="0"/>
      <w:numPr>
        <w:numId w:val="2"/>
      </w:numPr>
      <w:tabs>
        <w:tab w:val="left" w:pos="1134"/>
        <w:tab w:val="left" w:pos="1304"/>
      </w:tabs>
      <w:spacing w:before="240" w:after="120" w:line="240" w:lineRule="auto"/>
      <w:ind w:left="113" w:hanging="113"/>
    </w:pPr>
    <w:rPr>
      <w:rFonts w:ascii="Arial" w:eastAsia="Times New Roman" w:hAnsi="Arial" w:cs="Times New Roman"/>
      <w:bCs/>
      <w:i/>
      <w:color w:val="4F4F4F"/>
      <w:kern w:val="28"/>
      <w:sz w:val="22"/>
    </w:rPr>
  </w:style>
  <w:style w:type="character" w:styleId="CommentReference">
    <w:name w:val="annotation reference"/>
    <w:uiPriority w:val="99"/>
    <w:unhideWhenUsed/>
    <w:rsid w:val="00693D94"/>
    <w:rPr>
      <w:sz w:val="16"/>
      <w:szCs w:val="16"/>
    </w:rPr>
  </w:style>
  <w:style w:type="paragraph" w:styleId="CommentText">
    <w:name w:val="annotation text"/>
    <w:basedOn w:val="Normal"/>
    <w:link w:val="CommentTextChar"/>
    <w:uiPriority w:val="99"/>
    <w:unhideWhenUsed/>
    <w:rsid w:val="00693D94"/>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693D94"/>
    <w:rPr>
      <w:rFonts w:ascii="Times New Roman" w:eastAsia="Times New Roman" w:hAnsi="Times New Roman" w:cs="Times New Roman"/>
      <w:sz w:val="20"/>
      <w:szCs w:val="20"/>
    </w:rPr>
  </w:style>
  <w:style w:type="paragraph" w:styleId="Footer">
    <w:name w:val="footer"/>
    <w:basedOn w:val="Normal"/>
    <w:link w:val="FooterChar"/>
    <w:uiPriority w:val="99"/>
    <w:rsid w:val="00693D94"/>
    <w:pPr>
      <w:pBdr>
        <w:top w:val="single" w:sz="4" w:space="1" w:color="auto"/>
      </w:pBdr>
      <w:tabs>
        <w:tab w:val="right" w:pos="7655"/>
      </w:tabs>
      <w:spacing w:after="0" w:line="240" w:lineRule="auto"/>
    </w:pPr>
    <w:rPr>
      <w:rFonts w:ascii="Arial" w:eastAsia="Times New Roman" w:hAnsi="Arial" w:cs="Times New Roman"/>
      <w:sz w:val="18"/>
      <w:szCs w:val="20"/>
    </w:rPr>
  </w:style>
  <w:style w:type="character" w:customStyle="1" w:styleId="FooterChar">
    <w:name w:val="Footer Char"/>
    <w:basedOn w:val="DefaultParagraphFont"/>
    <w:link w:val="Footer"/>
    <w:uiPriority w:val="99"/>
    <w:rsid w:val="00693D94"/>
    <w:rPr>
      <w:rFonts w:ascii="Arial" w:eastAsia="Times New Roman" w:hAnsi="Arial" w:cs="Times New Roman"/>
      <w:sz w:val="18"/>
      <w:szCs w:val="20"/>
    </w:rPr>
  </w:style>
  <w:style w:type="paragraph" w:styleId="Header">
    <w:name w:val="header"/>
    <w:basedOn w:val="Normal"/>
    <w:link w:val="HeaderChar"/>
    <w:uiPriority w:val="99"/>
    <w:rsid w:val="00693D94"/>
    <w:pPr>
      <w:tabs>
        <w:tab w:val="center" w:pos="4153"/>
        <w:tab w:val="right" w:pos="8306"/>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693D94"/>
    <w:rPr>
      <w:rFonts w:ascii="Times New Roman" w:eastAsia="Times New Roman" w:hAnsi="Times New Roman" w:cs="Times New Roman"/>
      <w:sz w:val="20"/>
      <w:szCs w:val="20"/>
    </w:rPr>
  </w:style>
  <w:style w:type="paragraph" w:customStyle="1" w:styleId="HeaderHeading">
    <w:name w:val="Header Heading"/>
    <w:basedOn w:val="Normal"/>
    <w:rsid w:val="00693D94"/>
    <w:pPr>
      <w:pageBreakBefore/>
      <w:widowControl w:val="0"/>
      <w:pBdr>
        <w:bottom w:val="single" w:sz="8" w:space="6" w:color="auto"/>
      </w:pBdr>
      <w:tabs>
        <w:tab w:val="right" w:pos="4196"/>
        <w:tab w:val="right" w:pos="5046"/>
        <w:tab w:val="right" w:pos="5897"/>
        <w:tab w:val="right" w:pos="6747"/>
        <w:tab w:val="right" w:pos="7598"/>
      </w:tabs>
      <w:autoSpaceDE w:val="0"/>
      <w:autoSpaceDN w:val="0"/>
      <w:spacing w:after="0" w:line="240" w:lineRule="auto"/>
    </w:pPr>
    <w:rPr>
      <w:rFonts w:ascii="Lucida Sans" w:eastAsia="Times New Roman" w:hAnsi="Lucida Sans" w:cs="Arial"/>
      <w:szCs w:val="20"/>
      <w:lang w:eastAsia="en-AU"/>
    </w:rPr>
  </w:style>
  <w:style w:type="paragraph" w:styleId="ListParagraph">
    <w:name w:val="List Paragraph"/>
    <w:basedOn w:val="Normal"/>
    <w:uiPriority w:val="34"/>
    <w:qFormat/>
    <w:rsid w:val="00693D94"/>
    <w:pPr>
      <w:spacing w:after="200" w:line="276" w:lineRule="auto"/>
      <w:ind w:left="720"/>
      <w:contextualSpacing/>
    </w:pPr>
    <w:rPr>
      <w:rFonts w:ascii="Arial" w:eastAsia="Calibri" w:hAnsi="Arial" w:cs="Times New Roman"/>
    </w:rPr>
  </w:style>
  <w:style w:type="paragraph" w:styleId="BalloonText">
    <w:name w:val="Balloon Text"/>
    <w:basedOn w:val="Normal"/>
    <w:link w:val="BalloonTextChar"/>
    <w:uiPriority w:val="99"/>
    <w:semiHidden/>
    <w:unhideWhenUsed/>
    <w:rsid w:val="00693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3FD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3FDF"/>
    <w:rPr>
      <w:rFonts w:ascii="Times New Roman" w:eastAsia="Times New Roman" w:hAnsi="Times New Roman" w:cs="Times New Roman"/>
      <w:b/>
      <w:bCs/>
      <w:sz w:val="20"/>
      <w:szCs w:val="20"/>
    </w:rPr>
  </w:style>
  <w:style w:type="paragraph" w:styleId="NormalWeb">
    <w:name w:val="Normal (Web)"/>
    <w:basedOn w:val="Normal"/>
    <w:uiPriority w:val="99"/>
    <w:unhideWhenUsed/>
    <w:rsid w:val="00C9765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0743C"/>
    <w:rPr>
      <w:color w:val="0000FF"/>
      <w:u w:val="single"/>
    </w:rPr>
  </w:style>
  <w:style w:type="paragraph" w:styleId="Revision">
    <w:name w:val="Revision"/>
    <w:hidden/>
    <w:uiPriority w:val="99"/>
    <w:semiHidden/>
    <w:rsid w:val="00F66F6E"/>
    <w:pPr>
      <w:spacing w:after="0" w:line="240" w:lineRule="auto"/>
    </w:pPr>
  </w:style>
  <w:style w:type="paragraph" w:styleId="FootnoteText">
    <w:name w:val="footnote text"/>
    <w:basedOn w:val="Normal"/>
    <w:link w:val="FootnoteTextChar"/>
    <w:uiPriority w:val="99"/>
    <w:semiHidden/>
    <w:unhideWhenUsed/>
    <w:rsid w:val="0084153B"/>
    <w:pPr>
      <w:spacing w:after="0" w:line="240" w:lineRule="auto"/>
    </w:pPr>
    <w:rPr>
      <w:szCs w:val="20"/>
    </w:rPr>
  </w:style>
  <w:style w:type="character" w:customStyle="1" w:styleId="FootnoteTextChar">
    <w:name w:val="Footnote Text Char"/>
    <w:basedOn w:val="DefaultParagraphFont"/>
    <w:link w:val="FootnoteText"/>
    <w:uiPriority w:val="99"/>
    <w:semiHidden/>
    <w:rsid w:val="0084153B"/>
    <w:rPr>
      <w:sz w:val="20"/>
      <w:szCs w:val="20"/>
    </w:rPr>
  </w:style>
  <w:style w:type="character" w:styleId="FootnoteReference">
    <w:name w:val="footnote reference"/>
    <w:basedOn w:val="DefaultParagraphFont"/>
    <w:uiPriority w:val="99"/>
    <w:semiHidden/>
    <w:unhideWhenUsed/>
    <w:rsid w:val="0084153B"/>
    <w:rPr>
      <w:vertAlign w:val="superscript"/>
    </w:rPr>
  </w:style>
  <w:style w:type="paragraph" w:customStyle="1" w:styleId="Chart11">
    <w:name w:val="Chart 1.1"/>
    <w:basedOn w:val="Normal"/>
    <w:qFormat/>
    <w:rsid w:val="00EE0F8C"/>
    <w:pPr>
      <w:numPr>
        <w:numId w:val="5"/>
      </w:numPr>
      <w:spacing w:before="240" w:after="120" w:line="240" w:lineRule="auto"/>
      <w:ind w:left="357" w:hanging="357"/>
    </w:pPr>
    <w:rPr>
      <w:rFonts w:ascii="Arial" w:eastAsia="Times New Roman" w:hAnsi="Arial" w:cs="Times New Roman"/>
      <w:i/>
      <w:color w:val="4F4F4F"/>
      <w:szCs w:val="20"/>
    </w:rPr>
  </w:style>
  <w:style w:type="paragraph" w:customStyle="1" w:styleId="11Heading2">
    <w:name w:val="1.1 Heading 2"/>
    <w:basedOn w:val="Normal"/>
    <w:qFormat/>
    <w:rsid w:val="00C763D1"/>
    <w:pPr>
      <w:numPr>
        <w:numId w:val="6"/>
      </w:numPr>
      <w:pBdr>
        <w:bottom w:val="single" w:sz="4" w:space="4" w:color="53C8E9"/>
      </w:pBdr>
      <w:spacing w:before="240" w:after="100" w:line="240" w:lineRule="auto"/>
    </w:pPr>
    <w:rPr>
      <w:rFonts w:ascii="Arial Bold" w:eastAsia="Times New Roman" w:hAnsi="Arial Bold" w:cs="Times New Roman"/>
      <w:b/>
      <w:color w:val="53C8E9"/>
      <w:sz w:val="28"/>
      <w:szCs w:val="20"/>
    </w:rPr>
  </w:style>
  <w:style w:type="paragraph" w:customStyle="1" w:styleId="Table11">
    <w:name w:val="Table 1.1"/>
    <w:basedOn w:val="Normal"/>
    <w:qFormat/>
    <w:rsid w:val="008D3493"/>
    <w:pPr>
      <w:widowControl w:val="0"/>
      <w:numPr>
        <w:numId w:val="7"/>
      </w:numPr>
      <w:spacing w:before="240" w:after="120" w:line="240" w:lineRule="auto"/>
    </w:pPr>
    <w:rPr>
      <w:rFonts w:ascii="Arial" w:eastAsia="Times New Roman" w:hAnsi="Arial" w:cs="Times New Roman"/>
      <w:bCs/>
      <w:i/>
      <w:color w:val="4F4F4F"/>
      <w:kern w:val="28"/>
    </w:rPr>
  </w:style>
  <w:style w:type="character" w:customStyle="1" w:styleId="Heading4Char">
    <w:name w:val="Heading 4 Char"/>
    <w:link w:val="Heading4"/>
    <w:rsid w:val="00C763D1"/>
    <w:rPr>
      <w:rFonts w:ascii="Arial Bold" w:eastAsia="Times New Roman" w:hAnsi="Arial Bold" w:cs="Times New Roman"/>
      <w:b/>
      <w:color w:val="00426F"/>
      <w:kern w:val="28"/>
      <w:sz w:val="25"/>
      <w:szCs w:val="36"/>
    </w:rPr>
  </w:style>
  <w:style w:type="character" w:customStyle="1" w:styleId="Heading5Char">
    <w:name w:val="Heading 5 Char"/>
    <w:link w:val="Heading5"/>
    <w:rsid w:val="003D4D5B"/>
    <w:rPr>
      <w:rFonts w:ascii="Arial" w:eastAsia="Times New Roman" w:hAnsi="Arial" w:cs="Times New Roman"/>
      <w:i/>
      <w:kern w:val="28"/>
      <w:sz w:val="25"/>
      <w:szCs w:val="36"/>
    </w:rPr>
  </w:style>
  <w:style w:type="table" w:styleId="TableGrid">
    <w:name w:val="Table Grid"/>
    <w:basedOn w:val="TableNormal"/>
    <w:uiPriority w:val="39"/>
    <w:rsid w:val="006D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92BA9"/>
  </w:style>
  <w:style w:type="character" w:customStyle="1" w:styleId="UnresolvedMention1">
    <w:name w:val="Unresolved Mention1"/>
    <w:basedOn w:val="DefaultParagraphFont"/>
    <w:uiPriority w:val="99"/>
    <w:unhideWhenUsed/>
    <w:rsid w:val="007B4B11"/>
    <w:rPr>
      <w:color w:val="605E5C"/>
      <w:shd w:val="clear" w:color="auto" w:fill="E1DFDD"/>
    </w:rPr>
  </w:style>
  <w:style w:type="character" w:customStyle="1" w:styleId="Mention1">
    <w:name w:val="Mention1"/>
    <w:basedOn w:val="DefaultParagraphFont"/>
    <w:uiPriority w:val="99"/>
    <w:unhideWhenUsed/>
    <w:rsid w:val="007B4B11"/>
    <w:rPr>
      <w:color w:val="2B579A"/>
      <w:shd w:val="clear" w:color="auto" w:fill="E1DFDD"/>
    </w:rPr>
  </w:style>
  <w:style w:type="character" w:customStyle="1" w:styleId="UnresolvedMention2">
    <w:name w:val="Unresolved Mention2"/>
    <w:basedOn w:val="DefaultParagraphFont"/>
    <w:uiPriority w:val="99"/>
    <w:unhideWhenUsed/>
    <w:rsid w:val="005D6200"/>
    <w:rPr>
      <w:color w:val="605E5C"/>
      <w:shd w:val="clear" w:color="auto" w:fill="E1DFDD"/>
    </w:rPr>
  </w:style>
  <w:style w:type="character" w:customStyle="1" w:styleId="Mention2">
    <w:name w:val="Mention2"/>
    <w:basedOn w:val="DefaultParagraphFont"/>
    <w:uiPriority w:val="99"/>
    <w:unhideWhenUsed/>
    <w:rsid w:val="005D6200"/>
    <w:rPr>
      <w:color w:val="2B579A"/>
      <w:shd w:val="clear" w:color="auto" w:fill="E1DFDD"/>
    </w:rPr>
  </w:style>
  <w:style w:type="paragraph" w:customStyle="1" w:styleId="BoxHeading">
    <w:name w:val="Box Heading"/>
    <w:basedOn w:val="Normal"/>
    <w:autoRedefine/>
    <w:rsid w:val="009C7851"/>
    <w:pPr>
      <w:widowControl w:val="0"/>
      <w:spacing w:after="60" w:line="240" w:lineRule="auto"/>
    </w:pPr>
    <w:rPr>
      <w:rFonts w:ascii="Arial Bold" w:eastAsia="Calibri" w:hAnsi="Arial Bold" w:cs="Arial"/>
      <w:b/>
      <w:bCs/>
      <w:sz w:val="23"/>
      <w:szCs w:val="23"/>
      <w:lang w:val="en-US"/>
    </w:rPr>
  </w:style>
  <w:style w:type="paragraph" w:customStyle="1" w:styleId="Bullet1inabox">
    <w:name w:val="Bullet 1 in a box"/>
    <w:basedOn w:val="Bullet1"/>
    <w:autoRedefine/>
    <w:rsid w:val="00C763D1"/>
    <w:pPr>
      <w:numPr>
        <w:numId w:val="12"/>
      </w:numPr>
      <w:spacing w:before="100" w:after="60"/>
      <w:ind w:left="357" w:hanging="357"/>
    </w:pPr>
    <w:rPr>
      <w:rFonts w:eastAsiaTheme="minorHAnsi" w:cs="Times New Roman"/>
      <w:color w:val="008EBA"/>
    </w:rPr>
  </w:style>
  <w:style w:type="paragraph" w:customStyle="1" w:styleId="Chart2X">
    <w:name w:val="Chart 2.X"/>
    <w:basedOn w:val="Normal"/>
    <w:next w:val="Normal"/>
    <w:rsid w:val="000D168E"/>
    <w:pPr>
      <w:keepLines/>
      <w:numPr>
        <w:numId w:val="14"/>
      </w:numPr>
      <w:tabs>
        <w:tab w:val="left" w:pos="1304"/>
      </w:tabs>
      <w:spacing w:before="360" w:after="120" w:line="240" w:lineRule="auto"/>
    </w:pPr>
    <w:rPr>
      <w:rFonts w:ascii="Arial" w:eastAsia="Times New Roman" w:hAnsi="Arial" w:cs="Times New Roman"/>
      <w:i/>
      <w:color w:val="57514D"/>
      <w:szCs w:val="20"/>
      <w:lang w:val="en-US"/>
    </w:rPr>
  </w:style>
  <w:style w:type="paragraph" w:customStyle="1" w:styleId="BodyTextBox">
    <w:name w:val="Body Text Box"/>
    <w:basedOn w:val="Normal"/>
    <w:link w:val="BodyTextBoxChar"/>
    <w:autoRedefine/>
    <w:rsid w:val="00535684"/>
    <w:pPr>
      <w:spacing w:before="120" w:after="80" w:line="240" w:lineRule="atLeast"/>
    </w:pPr>
    <w:rPr>
      <w:rFonts w:ascii="Arial" w:eastAsia="Times New Roman" w:hAnsi="Arial" w:cs="Arial"/>
      <w:color w:val="008EBA"/>
      <w:sz w:val="23"/>
      <w:szCs w:val="23"/>
    </w:rPr>
  </w:style>
  <w:style w:type="character" w:customStyle="1" w:styleId="BodyTextBoxChar">
    <w:name w:val="Body Text Box Char"/>
    <w:link w:val="BodyTextBox"/>
    <w:rsid w:val="00535684"/>
    <w:rPr>
      <w:rFonts w:ascii="Arial" w:eastAsia="Times New Roman" w:hAnsi="Arial" w:cs="Arial"/>
      <w:color w:val="008EBA"/>
      <w:sz w:val="23"/>
      <w:szCs w:val="23"/>
    </w:rPr>
  </w:style>
  <w:style w:type="paragraph" w:customStyle="1" w:styleId="Bullet2inabox">
    <w:name w:val="Bullet 2 in a box"/>
    <w:basedOn w:val="Normal"/>
    <w:qFormat/>
    <w:rsid w:val="00535684"/>
    <w:pPr>
      <w:numPr>
        <w:numId w:val="19"/>
      </w:numPr>
      <w:spacing w:before="100" w:after="60" w:line="240" w:lineRule="atLeast"/>
    </w:pPr>
    <w:rPr>
      <w:rFonts w:ascii="Arial" w:eastAsia="Times New Roman" w:hAnsi="Arial" w:cs="Times New Roman"/>
      <w:color w:val="000000" w:themeColor="text1"/>
      <w:sz w:val="23"/>
      <w:szCs w:val="20"/>
    </w:rPr>
  </w:style>
  <w:style w:type="character" w:customStyle="1" w:styleId="UnresolvedMention3">
    <w:name w:val="Unresolved Mention3"/>
    <w:basedOn w:val="DefaultParagraphFont"/>
    <w:uiPriority w:val="99"/>
    <w:unhideWhenUsed/>
    <w:rsid w:val="0044189F"/>
    <w:rPr>
      <w:color w:val="605E5C"/>
      <w:shd w:val="clear" w:color="auto" w:fill="E1DFDD"/>
    </w:rPr>
  </w:style>
  <w:style w:type="character" w:customStyle="1" w:styleId="Mention3">
    <w:name w:val="Mention3"/>
    <w:basedOn w:val="DefaultParagraphFont"/>
    <w:uiPriority w:val="99"/>
    <w:unhideWhenUsed/>
    <w:rsid w:val="0044189F"/>
    <w:rPr>
      <w:color w:val="2B579A"/>
      <w:shd w:val="clear" w:color="auto" w:fill="E1DFDD"/>
    </w:rPr>
  </w:style>
  <w:style w:type="character" w:styleId="FollowedHyperlink">
    <w:name w:val="FollowedHyperlink"/>
    <w:basedOn w:val="DefaultParagraphFont"/>
    <w:uiPriority w:val="99"/>
    <w:semiHidden/>
    <w:unhideWhenUsed/>
    <w:rsid w:val="00E07BB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7883">
      <w:bodyDiv w:val="1"/>
      <w:marLeft w:val="0"/>
      <w:marRight w:val="0"/>
      <w:marTop w:val="0"/>
      <w:marBottom w:val="0"/>
      <w:divBdr>
        <w:top w:val="none" w:sz="0" w:space="0" w:color="auto"/>
        <w:left w:val="none" w:sz="0" w:space="0" w:color="auto"/>
        <w:bottom w:val="none" w:sz="0" w:space="0" w:color="auto"/>
        <w:right w:val="none" w:sz="0" w:space="0" w:color="auto"/>
      </w:divBdr>
    </w:div>
    <w:div w:id="47648373">
      <w:bodyDiv w:val="1"/>
      <w:marLeft w:val="0"/>
      <w:marRight w:val="0"/>
      <w:marTop w:val="0"/>
      <w:marBottom w:val="0"/>
      <w:divBdr>
        <w:top w:val="none" w:sz="0" w:space="0" w:color="auto"/>
        <w:left w:val="none" w:sz="0" w:space="0" w:color="auto"/>
        <w:bottom w:val="none" w:sz="0" w:space="0" w:color="auto"/>
        <w:right w:val="none" w:sz="0" w:space="0" w:color="auto"/>
      </w:divBdr>
    </w:div>
    <w:div w:id="81144215">
      <w:bodyDiv w:val="1"/>
      <w:marLeft w:val="0"/>
      <w:marRight w:val="0"/>
      <w:marTop w:val="0"/>
      <w:marBottom w:val="0"/>
      <w:divBdr>
        <w:top w:val="none" w:sz="0" w:space="0" w:color="auto"/>
        <w:left w:val="none" w:sz="0" w:space="0" w:color="auto"/>
        <w:bottom w:val="none" w:sz="0" w:space="0" w:color="auto"/>
        <w:right w:val="none" w:sz="0" w:space="0" w:color="auto"/>
      </w:divBdr>
    </w:div>
    <w:div w:id="94254694">
      <w:bodyDiv w:val="1"/>
      <w:marLeft w:val="0"/>
      <w:marRight w:val="0"/>
      <w:marTop w:val="0"/>
      <w:marBottom w:val="0"/>
      <w:divBdr>
        <w:top w:val="none" w:sz="0" w:space="0" w:color="auto"/>
        <w:left w:val="none" w:sz="0" w:space="0" w:color="auto"/>
        <w:bottom w:val="none" w:sz="0" w:space="0" w:color="auto"/>
        <w:right w:val="none" w:sz="0" w:space="0" w:color="auto"/>
      </w:divBdr>
    </w:div>
    <w:div w:id="97484216">
      <w:bodyDiv w:val="1"/>
      <w:marLeft w:val="0"/>
      <w:marRight w:val="0"/>
      <w:marTop w:val="0"/>
      <w:marBottom w:val="0"/>
      <w:divBdr>
        <w:top w:val="none" w:sz="0" w:space="0" w:color="auto"/>
        <w:left w:val="none" w:sz="0" w:space="0" w:color="auto"/>
        <w:bottom w:val="none" w:sz="0" w:space="0" w:color="auto"/>
        <w:right w:val="none" w:sz="0" w:space="0" w:color="auto"/>
      </w:divBdr>
    </w:div>
    <w:div w:id="99229175">
      <w:bodyDiv w:val="1"/>
      <w:marLeft w:val="0"/>
      <w:marRight w:val="0"/>
      <w:marTop w:val="0"/>
      <w:marBottom w:val="0"/>
      <w:divBdr>
        <w:top w:val="none" w:sz="0" w:space="0" w:color="auto"/>
        <w:left w:val="none" w:sz="0" w:space="0" w:color="auto"/>
        <w:bottom w:val="none" w:sz="0" w:space="0" w:color="auto"/>
        <w:right w:val="none" w:sz="0" w:space="0" w:color="auto"/>
      </w:divBdr>
    </w:div>
    <w:div w:id="100226379">
      <w:bodyDiv w:val="1"/>
      <w:marLeft w:val="0"/>
      <w:marRight w:val="0"/>
      <w:marTop w:val="0"/>
      <w:marBottom w:val="0"/>
      <w:divBdr>
        <w:top w:val="none" w:sz="0" w:space="0" w:color="auto"/>
        <w:left w:val="none" w:sz="0" w:space="0" w:color="auto"/>
        <w:bottom w:val="none" w:sz="0" w:space="0" w:color="auto"/>
        <w:right w:val="none" w:sz="0" w:space="0" w:color="auto"/>
      </w:divBdr>
    </w:div>
    <w:div w:id="109789606">
      <w:bodyDiv w:val="1"/>
      <w:marLeft w:val="0"/>
      <w:marRight w:val="0"/>
      <w:marTop w:val="0"/>
      <w:marBottom w:val="0"/>
      <w:divBdr>
        <w:top w:val="none" w:sz="0" w:space="0" w:color="auto"/>
        <w:left w:val="none" w:sz="0" w:space="0" w:color="auto"/>
        <w:bottom w:val="none" w:sz="0" w:space="0" w:color="auto"/>
        <w:right w:val="none" w:sz="0" w:space="0" w:color="auto"/>
      </w:divBdr>
    </w:div>
    <w:div w:id="202524189">
      <w:bodyDiv w:val="1"/>
      <w:marLeft w:val="0"/>
      <w:marRight w:val="0"/>
      <w:marTop w:val="0"/>
      <w:marBottom w:val="0"/>
      <w:divBdr>
        <w:top w:val="none" w:sz="0" w:space="0" w:color="auto"/>
        <w:left w:val="none" w:sz="0" w:space="0" w:color="auto"/>
        <w:bottom w:val="none" w:sz="0" w:space="0" w:color="auto"/>
        <w:right w:val="none" w:sz="0" w:space="0" w:color="auto"/>
      </w:divBdr>
    </w:div>
    <w:div w:id="209147388">
      <w:bodyDiv w:val="1"/>
      <w:marLeft w:val="0"/>
      <w:marRight w:val="0"/>
      <w:marTop w:val="0"/>
      <w:marBottom w:val="0"/>
      <w:divBdr>
        <w:top w:val="none" w:sz="0" w:space="0" w:color="auto"/>
        <w:left w:val="none" w:sz="0" w:space="0" w:color="auto"/>
        <w:bottom w:val="none" w:sz="0" w:space="0" w:color="auto"/>
        <w:right w:val="none" w:sz="0" w:space="0" w:color="auto"/>
      </w:divBdr>
    </w:div>
    <w:div w:id="216478618">
      <w:bodyDiv w:val="1"/>
      <w:marLeft w:val="0"/>
      <w:marRight w:val="0"/>
      <w:marTop w:val="0"/>
      <w:marBottom w:val="0"/>
      <w:divBdr>
        <w:top w:val="none" w:sz="0" w:space="0" w:color="auto"/>
        <w:left w:val="none" w:sz="0" w:space="0" w:color="auto"/>
        <w:bottom w:val="none" w:sz="0" w:space="0" w:color="auto"/>
        <w:right w:val="none" w:sz="0" w:space="0" w:color="auto"/>
      </w:divBdr>
    </w:div>
    <w:div w:id="224145408">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46965">
      <w:bodyDiv w:val="1"/>
      <w:marLeft w:val="0"/>
      <w:marRight w:val="0"/>
      <w:marTop w:val="0"/>
      <w:marBottom w:val="0"/>
      <w:divBdr>
        <w:top w:val="none" w:sz="0" w:space="0" w:color="auto"/>
        <w:left w:val="none" w:sz="0" w:space="0" w:color="auto"/>
        <w:bottom w:val="none" w:sz="0" w:space="0" w:color="auto"/>
        <w:right w:val="none" w:sz="0" w:space="0" w:color="auto"/>
      </w:divBdr>
    </w:div>
    <w:div w:id="293412784">
      <w:bodyDiv w:val="1"/>
      <w:marLeft w:val="0"/>
      <w:marRight w:val="0"/>
      <w:marTop w:val="0"/>
      <w:marBottom w:val="0"/>
      <w:divBdr>
        <w:top w:val="none" w:sz="0" w:space="0" w:color="auto"/>
        <w:left w:val="none" w:sz="0" w:space="0" w:color="auto"/>
        <w:bottom w:val="none" w:sz="0" w:space="0" w:color="auto"/>
        <w:right w:val="none" w:sz="0" w:space="0" w:color="auto"/>
      </w:divBdr>
    </w:div>
    <w:div w:id="328870733">
      <w:bodyDiv w:val="1"/>
      <w:marLeft w:val="0"/>
      <w:marRight w:val="0"/>
      <w:marTop w:val="0"/>
      <w:marBottom w:val="0"/>
      <w:divBdr>
        <w:top w:val="none" w:sz="0" w:space="0" w:color="auto"/>
        <w:left w:val="none" w:sz="0" w:space="0" w:color="auto"/>
        <w:bottom w:val="none" w:sz="0" w:space="0" w:color="auto"/>
        <w:right w:val="none" w:sz="0" w:space="0" w:color="auto"/>
      </w:divBdr>
    </w:div>
    <w:div w:id="365176139">
      <w:bodyDiv w:val="1"/>
      <w:marLeft w:val="0"/>
      <w:marRight w:val="0"/>
      <w:marTop w:val="0"/>
      <w:marBottom w:val="0"/>
      <w:divBdr>
        <w:top w:val="none" w:sz="0" w:space="0" w:color="auto"/>
        <w:left w:val="none" w:sz="0" w:space="0" w:color="auto"/>
        <w:bottom w:val="none" w:sz="0" w:space="0" w:color="auto"/>
        <w:right w:val="none" w:sz="0" w:space="0" w:color="auto"/>
      </w:divBdr>
    </w:div>
    <w:div w:id="380833844">
      <w:bodyDiv w:val="1"/>
      <w:marLeft w:val="0"/>
      <w:marRight w:val="0"/>
      <w:marTop w:val="0"/>
      <w:marBottom w:val="0"/>
      <w:divBdr>
        <w:top w:val="none" w:sz="0" w:space="0" w:color="auto"/>
        <w:left w:val="none" w:sz="0" w:space="0" w:color="auto"/>
        <w:bottom w:val="none" w:sz="0" w:space="0" w:color="auto"/>
        <w:right w:val="none" w:sz="0" w:space="0" w:color="auto"/>
      </w:divBdr>
    </w:div>
    <w:div w:id="399448034">
      <w:bodyDiv w:val="1"/>
      <w:marLeft w:val="0"/>
      <w:marRight w:val="0"/>
      <w:marTop w:val="0"/>
      <w:marBottom w:val="0"/>
      <w:divBdr>
        <w:top w:val="none" w:sz="0" w:space="0" w:color="auto"/>
        <w:left w:val="none" w:sz="0" w:space="0" w:color="auto"/>
        <w:bottom w:val="none" w:sz="0" w:space="0" w:color="auto"/>
        <w:right w:val="none" w:sz="0" w:space="0" w:color="auto"/>
      </w:divBdr>
    </w:div>
    <w:div w:id="413936641">
      <w:bodyDiv w:val="1"/>
      <w:marLeft w:val="0"/>
      <w:marRight w:val="0"/>
      <w:marTop w:val="0"/>
      <w:marBottom w:val="0"/>
      <w:divBdr>
        <w:top w:val="none" w:sz="0" w:space="0" w:color="auto"/>
        <w:left w:val="none" w:sz="0" w:space="0" w:color="auto"/>
        <w:bottom w:val="none" w:sz="0" w:space="0" w:color="auto"/>
        <w:right w:val="none" w:sz="0" w:space="0" w:color="auto"/>
      </w:divBdr>
    </w:div>
    <w:div w:id="423498558">
      <w:bodyDiv w:val="1"/>
      <w:marLeft w:val="0"/>
      <w:marRight w:val="0"/>
      <w:marTop w:val="0"/>
      <w:marBottom w:val="0"/>
      <w:divBdr>
        <w:top w:val="none" w:sz="0" w:space="0" w:color="auto"/>
        <w:left w:val="none" w:sz="0" w:space="0" w:color="auto"/>
        <w:bottom w:val="none" w:sz="0" w:space="0" w:color="auto"/>
        <w:right w:val="none" w:sz="0" w:space="0" w:color="auto"/>
      </w:divBdr>
    </w:div>
    <w:div w:id="426581933">
      <w:bodyDiv w:val="1"/>
      <w:marLeft w:val="0"/>
      <w:marRight w:val="0"/>
      <w:marTop w:val="0"/>
      <w:marBottom w:val="0"/>
      <w:divBdr>
        <w:top w:val="none" w:sz="0" w:space="0" w:color="auto"/>
        <w:left w:val="none" w:sz="0" w:space="0" w:color="auto"/>
        <w:bottom w:val="none" w:sz="0" w:space="0" w:color="auto"/>
        <w:right w:val="none" w:sz="0" w:space="0" w:color="auto"/>
      </w:divBdr>
    </w:div>
    <w:div w:id="429476700">
      <w:bodyDiv w:val="1"/>
      <w:marLeft w:val="0"/>
      <w:marRight w:val="0"/>
      <w:marTop w:val="0"/>
      <w:marBottom w:val="0"/>
      <w:divBdr>
        <w:top w:val="none" w:sz="0" w:space="0" w:color="auto"/>
        <w:left w:val="none" w:sz="0" w:space="0" w:color="auto"/>
        <w:bottom w:val="none" w:sz="0" w:space="0" w:color="auto"/>
        <w:right w:val="none" w:sz="0" w:space="0" w:color="auto"/>
      </w:divBdr>
    </w:div>
    <w:div w:id="464591915">
      <w:bodyDiv w:val="1"/>
      <w:marLeft w:val="0"/>
      <w:marRight w:val="0"/>
      <w:marTop w:val="0"/>
      <w:marBottom w:val="0"/>
      <w:divBdr>
        <w:top w:val="none" w:sz="0" w:space="0" w:color="auto"/>
        <w:left w:val="none" w:sz="0" w:space="0" w:color="auto"/>
        <w:bottom w:val="none" w:sz="0" w:space="0" w:color="auto"/>
        <w:right w:val="none" w:sz="0" w:space="0" w:color="auto"/>
      </w:divBdr>
    </w:div>
    <w:div w:id="473839263">
      <w:bodyDiv w:val="1"/>
      <w:marLeft w:val="0"/>
      <w:marRight w:val="0"/>
      <w:marTop w:val="0"/>
      <w:marBottom w:val="0"/>
      <w:divBdr>
        <w:top w:val="none" w:sz="0" w:space="0" w:color="auto"/>
        <w:left w:val="none" w:sz="0" w:space="0" w:color="auto"/>
        <w:bottom w:val="none" w:sz="0" w:space="0" w:color="auto"/>
        <w:right w:val="none" w:sz="0" w:space="0" w:color="auto"/>
      </w:divBdr>
    </w:div>
    <w:div w:id="479855665">
      <w:bodyDiv w:val="1"/>
      <w:marLeft w:val="0"/>
      <w:marRight w:val="0"/>
      <w:marTop w:val="0"/>
      <w:marBottom w:val="0"/>
      <w:divBdr>
        <w:top w:val="none" w:sz="0" w:space="0" w:color="auto"/>
        <w:left w:val="none" w:sz="0" w:space="0" w:color="auto"/>
        <w:bottom w:val="none" w:sz="0" w:space="0" w:color="auto"/>
        <w:right w:val="none" w:sz="0" w:space="0" w:color="auto"/>
      </w:divBdr>
    </w:div>
    <w:div w:id="492063100">
      <w:bodyDiv w:val="1"/>
      <w:marLeft w:val="0"/>
      <w:marRight w:val="0"/>
      <w:marTop w:val="0"/>
      <w:marBottom w:val="0"/>
      <w:divBdr>
        <w:top w:val="none" w:sz="0" w:space="0" w:color="auto"/>
        <w:left w:val="none" w:sz="0" w:space="0" w:color="auto"/>
        <w:bottom w:val="none" w:sz="0" w:space="0" w:color="auto"/>
        <w:right w:val="none" w:sz="0" w:space="0" w:color="auto"/>
      </w:divBdr>
    </w:div>
    <w:div w:id="525993925">
      <w:bodyDiv w:val="1"/>
      <w:marLeft w:val="0"/>
      <w:marRight w:val="0"/>
      <w:marTop w:val="0"/>
      <w:marBottom w:val="0"/>
      <w:divBdr>
        <w:top w:val="none" w:sz="0" w:space="0" w:color="auto"/>
        <w:left w:val="none" w:sz="0" w:space="0" w:color="auto"/>
        <w:bottom w:val="none" w:sz="0" w:space="0" w:color="auto"/>
        <w:right w:val="none" w:sz="0" w:space="0" w:color="auto"/>
      </w:divBdr>
    </w:div>
    <w:div w:id="534583800">
      <w:bodyDiv w:val="1"/>
      <w:marLeft w:val="0"/>
      <w:marRight w:val="0"/>
      <w:marTop w:val="0"/>
      <w:marBottom w:val="0"/>
      <w:divBdr>
        <w:top w:val="none" w:sz="0" w:space="0" w:color="auto"/>
        <w:left w:val="none" w:sz="0" w:space="0" w:color="auto"/>
        <w:bottom w:val="none" w:sz="0" w:space="0" w:color="auto"/>
        <w:right w:val="none" w:sz="0" w:space="0" w:color="auto"/>
      </w:divBdr>
    </w:div>
    <w:div w:id="560752933">
      <w:bodyDiv w:val="1"/>
      <w:marLeft w:val="0"/>
      <w:marRight w:val="0"/>
      <w:marTop w:val="0"/>
      <w:marBottom w:val="0"/>
      <w:divBdr>
        <w:top w:val="none" w:sz="0" w:space="0" w:color="auto"/>
        <w:left w:val="none" w:sz="0" w:space="0" w:color="auto"/>
        <w:bottom w:val="none" w:sz="0" w:space="0" w:color="auto"/>
        <w:right w:val="none" w:sz="0" w:space="0" w:color="auto"/>
      </w:divBdr>
    </w:div>
    <w:div w:id="594244418">
      <w:bodyDiv w:val="1"/>
      <w:marLeft w:val="0"/>
      <w:marRight w:val="0"/>
      <w:marTop w:val="0"/>
      <w:marBottom w:val="0"/>
      <w:divBdr>
        <w:top w:val="none" w:sz="0" w:space="0" w:color="auto"/>
        <w:left w:val="none" w:sz="0" w:space="0" w:color="auto"/>
        <w:bottom w:val="none" w:sz="0" w:space="0" w:color="auto"/>
        <w:right w:val="none" w:sz="0" w:space="0" w:color="auto"/>
      </w:divBdr>
    </w:div>
    <w:div w:id="618026982">
      <w:bodyDiv w:val="1"/>
      <w:marLeft w:val="0"/>
      <w:marRight w:val="0"/>
      <w:marTop w:val="0"/>
      <w:marBottom w:val="0"/>
      <w:divBdr>
        <w:top w:val="none" w:sz="0" w:space="0" w:color="auto"/>
        <w:left w:val="none" w:sz="0" w:space="0" w:color="auto"/>
        <w:bottom w:val="none" w:sz="0" w:space="0" w:color="auto"/>
        <w:right w:val="none" w:sz="0" w:space="0" w:color="auto"/>
      </w:divBdr>
    </w:div>
    <w:div w:id="623195774">
      <w:bodyDiv w:val="1"/>
      <w:marLeft w:val="0"/>
      <w:marRight w:val="0"/>
      <w:marTop w:val="0"/>
      <w:marBottom w:val="0"/>
      <w:divBdr>
        <w:top w:val="none" w:sz="0" w:space="0" w:color="auto"/>
        <w:left w:val="none" w:sz="0" w:space="0" w:color="auto"/>
        <w:bottom w:val="none" w:sz="0" w:space="0" w:color="auto"/>
        <w:right w:val="none" w:sz="0" w:space="0" w:color="auto"/>
      </w:divBdr>
    </w:div>
    <w:div w:id="647054808">
      <w:bodyDiv w:val="1"/>
      <w:marLeft w:val="0"/>
      <w:marRight w:val="0"/>
      <w:marTop w:val="0"/>
      <w:marBottom w:val="0"/>
      <w:divBdr>
        <w:top w:val="none" w:sz="0" w:space="0" w:color="auto"/>
        <w:left w:val="none" w:sz="0" w:space="0" w:color="auto"/>
        <w:bottom w:val="none" w:sz="0" w:space="0" w:color="auto"/>
        <w:right w:val="none" w:sz="0" w:space="0" w:color="auto"/>
      </w:divBdr>
    </w:div>
    <w:div w:id="670988939">
      <w:bodyDiv w:val="1"/>
      <w:marLeft w:val="0"/>
      <w:marRight w:val="0"/>
      <w:marTop w:val="0"/>
      <w:marBottom w:val="0"/>
      <w:divBdr>
        <w:top w:val="none" w:sz="0" w:space="0" w:color="auto"/>
        <w:left w:val="none" w:sz="0" w:space="0" w:color="auto"/>
        <w:bottom w:val="none" w:sz="0" w:space="0" w:color="auto"/>
        <w:right w:val="none" w:sz="0" w:space="0" w:color="auto"/>
      </w:divBdr>
    </w:div>
    <w:div w:id="688137941">
      <w:bodyDiv w:val="1"/>
      <w:marLeft w:val="0"/>
      <w:marRight w:val="0"/>
      <w:marTop w:val="0"/>
      <w:marBottom w:val="0"/>
      <w:divBdr>
        <w:top w:val="none" w:sz="0" w:space="0" w:color="auto"/>
        <w:left w:val="none" w:sz="0" w:space="0" w:color="auto"/>
        <w:bottom w:val="none" w:sz="0" w:space="0" w:color="auto"/>
        <w:right w:val="none" w:sz="0" w:space="0" w:color="auto"/>
      </w:divBdr>
    </w:div>
    <w:div w:id="692876416">
      <w:bodyDiv w:val="1"/>
      <w:marLeft w:val="0"/>
      <w:marRight w:val="0"/>
      <w:marTop w:val="0"/>
      <w:marBottom w:val="0"/>
      <w:divBdr>
        <w:top w:val="none" w:sz="0" w:space="0" w:color="auto"/>
        <w:left w:val="none" w:sz="0" w:space="0" w:color="auto"/>
        <w:bottom w:val="none" w:sz="0" w:space="0" w:color="auto"/>
        <w:right w:val="none" w:sz="0" w:space="0" w:color="auto"/>
      </w:divBdr>
    </w:div>
    <w:div w:id="751198104">
      <w:bodyDiv w:val="1"/>
      <w:marLeft w:val="0"/>
      <w:marRight w:val="0"/>
      <w:marTop w:val="0"/>
      <w:marBottom w:val="0"/>
      <w:divBdr>
        <w:top w:val="none" w:sz="0" w:space="0" w:color="auto"/>
        <w:left w:val="none" w:sz="0" w:space="0" w:color="auto"/>
        <w:bottom w:val="none" w:sz="0" w:space="0" w:color="auto"/>
        <w:right w:val="none" w:sz="0" w:space="0" w:color="auto"/>
      </w:divBdr>
    </w:div>
    <w:div w:id="787239238">
      <w:bodyDiv w:val="1"/>
      <w:marLeft w:val="0"/>
      <w:marRight w:val="0"/>
      <w:marTop w:val="0"/>
      <w:marBottom w:val="0"/>
      <w:divBdr>
        <w:top w:val="none" w:sz="0" w:space="0" w:color="auto"/>
        <w:left w:val="none" w:sz="0" w:space="0" w:color="auto"/>
        <w:bottom w:val="none" w:sz="0" w:space="0" w:color="auto"/>
        <w:right w:val="none" w:sz="0" w:space="0" w:color="auto"/>
      </w:divBdr>
    </w:div>
    <w:div w:id="791172587">
      <w:bodyDiv w:val="1"/>
      <w:marLeft w:val="0"/>
      <w:marRight w:val="0"/>
      <w:marTop w:val="0"/>
      <w:marBottom w:val="0"/>
      <w:divBdr>
        <w:top w:val="none" w:sz="0" w:space="0" w:color="auto"/>
        <w:left w:val="none" w:sz="0" w:space="0" w:color="auto"/>
        <w:bottom w:val="none" w:sz="0" w:space="0" w:color="auto"/>
        <w:right w:val="none" w:sz="0" w:space="0" w:color="auto"/>
      </w:divBdr>
    </w:div>
    <w:div w:id="820274010">
      <w:bodyDiv w:val="1"/>
      <w:marLeft w:val="0"/>
      <w:marRight w:val="0"/>
      <w:marTop w:val="0"/>
      <w:marBottom w:val="0"/>
      <w:divBdr>
        <w:top w:val="none" w:sz="0" w:space="0" w:color="auto"/>
        <w:left w:val="none" w:sz="0" w:space="0" w:color="auto"/>
        <w:bottom w:val="none" w:sz="0" w:space="0" w:color="auto"/>
        <w:right w:val="none" w:sz="0" w:space="0" w:color="auto"/>
      </w:divBdr>
    </w:div>
    <w:div w:id="854995445">
      <w:bodyDiv w:val="1"/>
      <w:marLeft w:val="0"/>
      <w:marRight w:val="0"/>
      <w:marTop w:val="0"/>
      <w:marBottom w:val="0"/>
      <w:divBdr>
        <w:top w:val="none" w:sz="0" w:space="0" w:color="auto"/>
        <w:left w:val="none" w:sz="0" w:space="0" w:color="auto"/>
        <w:bottom w:val="none" w:sz="0" w:space="0" w:color="auto"/>
        <w:right w:val="none" w:sz="0" w:space="0" w:color="auto"/>
      </w:divBdr>
    </w:div>
    <w:div w:id="858129369">
      <w:bodyDiv w:val="1"/>
      <w:marLeft w:val="0"/>
      <w:marRight w:val="0"/>
      <w:marTop w:val="0"/>
      <w:marBottom w:val="0"/>
      <w:divBdr>
        <w:top w:val="none" w:sz="0" w:space="0" w:color="auto"/>
        <w:left w:val="none" w:sz="0" w:space="0" w:color="auto"/>
        <w:bottom w:val="none" w:sz="0" w:space="0" w:color="auto"/>
        <w:right w:val="none" w:sz="0" w:space="0" w:color="auto"/>
      </w:divBdr>
      <w:divsChild>
        <w:div w:id="610433921">
          <w:marLeft w:val="0"/>
          <w:marRight w:val="0"/>
          <w:marTop w:val="0"/>
          <w:marBottom w:val="0"/>
          <w:divBdr>
            <w:top w:val="none" w:sz="0" w:space="0" w:color="auto"/>
            <w:left w:val="none" w:sz="0" w:space="0" w:color="auto"/>
            <w:bottom w:val="none" w:sz="0" w:space="0" w:color="auto"/>
            <w:right w:val="none" w:sz="0" w:space="0" w:color="auto"/>
          </w:divBdr>
        </w:div>
      </w:divsChild>
    </w:div>
    <w:div w:id="887376943">
      <w:bodyDiv w:val="1"/>
      <w:marLeft w:val="0"/>
      <w:marRight w:val="0"/>
      <w:marTop w:val="0"/>
      <w:marBottom w:val="0"/>
      <w:divBdr>
        <w:top w:val="none" w:sz="0" w:space="0" w:color="auto"/>
        <w:left w:val="none" w:sz="0" w:space="0" w:color="auto"/>
        <w:bottom w:val="none" w:sz="0" w:space="0" w:color="auto"/>
        <w:right w:val="none" w:sz="0" w:space="0" w:color="auto"/>
      </w:divBdr>
    </w:div>
    <w:div w:id="887885901">
      <w:bodyDiv w:val="1"/>
      <w:marLeft w:val="0"/>
      <w:marRight w:val="0"/>
      <w:marTop w:val="0"/>
      <w:marBottom w:val="0"/>
      <w:divBdr>
        <w:top w:val="none" w:sz="0" w:space="0" w:color="auto"/>
        <w:left w:val="none" w:sz="0" w:space="0" w:color="auto"/>
        <w:bottom w:val="none" w:sz="0" w:space="0" w:color="auto"/>
        <w:right w:val="none" w:sz="0" w:space="0" w:color="auto"/>
      </w:divBdr>
    </w:div>
    <w:div w:id="910237215">
      <w:bodyDiv w:val="1"/>
      <w:marLeft w:val="0"/>
      <w:marRight w:val="0"/>
      <w:marTop w:val="0"/>
      <w:marBottom w:val="0"/>
      <w:divBdr>
        <w:top w:val="none" w:sz="0" w:space="0" w:color="auto"/>
        <w:left w:val="none" w:sz="0" w:space="0" w:color="auto"/>
        <w:bottom w:val="none" w:sz="0" w:space="0" w:color="auto"/>
        <w:right w:val="none" w:sz="0" w:space="0" w:color="auto"/>
      </w:divBdr>
    </w:div>
    <w:div w:id="927928475">
      <w:bodyDiv w:val="1"/>
      <w:marLeft w:val="0"/>
      <w:marRight w:val="0"/>
      <w:marTop w:val="0"/>
      <w:marBottom w:val="0"/>
      <w:divBdr>
        <w:top w:val="none" w:sz="0" w:space="0" w:color="auto"/>
        <w:left w:val="none" w:sz="0" w:space="0" w:color="auto"/>
        <w:bottom w:val="none" w:sz="0" w:space="0" w:color="auto"/>
        <w:right w:val="none" w:sz="0" w:space="0" w:color="auto"/>
      </w:divBdr>
    </w:div>
    <w:div w:id="990448731">
      <w:bodyDiv w:val="1"/>
      <w:marLeft w:val="0"/>
      <w:marRight w:val="0"/>
      <w:marTop w:val="0"/>
      <w:marBottom w:val="0"/>
      <w:divBdr>
        <w:top w:val="none" w:sz="0" w:space="0" w:color="auto"/>
        <w:left w:val="none" w:sz="0" w:space="0" w:color="auto"/>
        <w:bottom w:val="none" w:sz="0" w:space="0" w:color="auto"/>
        <w:right w:val="none" w:sz="0" w:space="0" w:color="auto"/>
      </w:divBdr>
    </w:div>
    <w:div w:id="997617252">
      <w:bodyDiv w:val="1"/>
      <w:marLeft w:val="0"/>
      <w:marRight w:val="0"/>
      <w:marTop w:val="0"/>
      <w:marBottom w:val="0"/>
      <w:divBdr>
        <w:top w:val="none" w:sz="0" w:space="0" w:color="auto"/>
        <w:left w:val="none" w:sz="0" w:space="0" w:color="auto"/>
        <w:bottom w:val="none" w:sz="0" w:space="0" w:color="auto"/>
        <w:right w:val="none" w:sz="0" w:space="0" w:color="auto"/>
      </w:divBdr>
    </w:div>
    <w:div w:id="1101074944">
      <w:bodyDiv w:val="1"/>
      <w:marLeft w:val="0"/>
      <w:marRight w:val="0"/>
      <w:marTop w:val="0"/>
      <w:marBottom w:val="0"/>
      <w:divBdr>
        <w:top w:val="none" w:sz="0" w:space="0" w:color="auto"/>
        <w:left w:val="none" w:sz="0" w:space="0" w:color="auto"/>
        <w:bottom w:val="none" w:sz="0" w:space="0" w:color="auto"/>
        <w:right w:val="none" w:sz="0" w:space="0" w:color="auto"/>
      </w:divBdr>
    </w:div>
    <w:div w:id="1119374777">
      <w:bodyDiv w:val="1"/>
      <w:marLeft w:val="0"/>
      <w:marRight w:val="0"/>
      <w:marTop w:val="0"/>
      <w:marBottom w:val="0"/>
      <w:divBdr>
        <w:top w:val="none" w:sz="0" w:space="0" w:color="auto"/>
        <w:left w:val="none" w:sz="0" w:space="0" w:color="auto"/>
        <w:bottom w:val="none" w:sz="0" w:space="0" w:color="auto"/>
        <w:right w:val="none" w:sz="0" w:space="0" w:color="auto"/>
      </w:divBdr>
    </w:div>
    <w:div w:id="1126460582">
      <w:bodyDiv w:val="1"/>
      <w:marLeft w:val="0"/>
      <w:marRight w:val="0"/>
      <w:marTop w:val="0"/>
      <w:marBottom w:val="0"/>
      <w:divBdr>
        <w:top w:val="none" w:sz="0" w:space="0" w:color="auto"/>
        <w:left w:val="none" w:sz="0" w:space="0" w:color="auto"/>
        <w:bottom w:val="none" w:sz="0" w:space="0" w:color="auto"/>
        <w:right w:val="none" w:sz="0" w:space="0" w:color="auto"/>
      </w:divBdr>
    </w:div>
    <w:div w:id="1161045751">
      <w:bodyDiv w:val="1"/>
      <w:marLeft w:val="0"/>
      <w:marRight w:val="0"/>
      <w:marTop w:val="0"/>
      <w:marBottom w:val="0"/>
      <w:divBdr>
        <w:top w:val="none" w:sz="0" w:space="0" w:color="auto"/>
        <w:left w:val="none" w:sz="0" w:space="0" w:color="auto"/>
        <w:bottom w:val="none" w:sz="0" w:space="0" w:color="auto"/>
        <w:right w:val="none" w:sz="0" w:space="0" w:color="auto"/>
      </w:divBdr>
    </w:div>
    <w:div w:id="1200052993">
      <w:bodyDiv w:val="1"/>
      <w:marLeft w:val="0"/>
      <w:marRight w:val="0"/>
      <w:marTop w:val="0"/>
      <w:marBottom w:val="0"/>
      <w:divBdr>
        <w:top w:val="none" w:sz="0" w:space="0" w:color="auto"/>
        <w:left w:val="none" w:sz="0" w:space="0" w:color="auto"/>
        <w:bottom w:val="none" w:sz="0" w:space="0" w:color="auto"/>
        <w:right w:val="none" w:sz="0" w:space="0" w:color="auto"/>
      </w:divBdr>
    </w:div>
    <w:div w:id="1222517478">
      <w:bodyDiv w:val="1"/>
      <w:marLeft w:val="0"/>
      <w:marRight w:val="0"/>
      <w:marTop w:val="0"/>
      <w:marBottom w:val="0"/>
      <w:divBdr>
        <w:top w:val="none" w:sz="0" w:space="0" w:color="auto"/>
        <w:left w:val="none" w:sz="0" w:space="0" w:color="auto"/>
        <w:bottom w:val="none" w:sz="0" w:space="0" w:color="auto"/>
        <w:right w:val="none" w:sz="0" w:space="0" w:color="auto"/>
      </w:divBdr>
    </w:div>
    <w:div w:id="1230770801">
      <w:bodyDiv w:val="1"/>
      <w:marLeft w:val="0"/>
      <w:marRight w:val="0"/>
      <w:marTop w:val="0"/>
      <w:marBottom w:val="0"/>
      <w:divBdr>
        <w:top w:val="none" w:sz="0" w:space="0" w:color="auto"/>
        <w:left w:val="none" w:sz="0" w:space="0" w:color="auto"/>
        <w:bottom w:val="none" w:sz="0" w:space="0" w:color="auto"/>
        <w:right w:val="none" w:sz="0" w:space="0" w:color="auto"/>
      </w:divBdr>
    </w:div>
    <w:div w:id="1305158226">
      <w:bodyDiv w:val="1"/>
      <w:marLeft w:val="0"/>
      <w:marRight w:val="0"/>
      <w:marTop w:val="0"/>
      <w:marBottom w:val="0"/>
      <w:divBdr>
        <w:top w:val="none" w:sz="0" w:space="0" w:color="auto"/>
        <w:left w:val="none" w:sz="0" w:space="0" w:color="auto"/>
        <w:bottom w:val="none" w:sz="0" w:space="0" w:color="auto"/>
        <w:right w:val="none" w:sz="0" w:space="0" w:color="auto"/>
      </w:divBdr>
    </w:div>
    <w:div w:id="1308166908">
      <w:bodyDiv w:val="1"/>
      <w:marLeft w:val="0"/>
      <w:marRight w:val="0"/>
      <w:marTop w:val="0"/>
      <w:marBottom w:val="0"/>
      <w:divBdr>
        <w:top w:val="none" w:sz="0" w:space="0" w:color="auto"/>
        <w:left w:val="none" w:sz="0" w:space="0" w:color="auto"/>
        <w:bottom w:val="none" w:sz="0" w:space="0" w:color="auto"/>
        <w:right w:val="none" w:sz="0" w:space="0" w:color="auto"/>
      </w:divBdr>
    </w:div>
    <w:div w:id="1313944688">
      <w:bodyDiv w:val="1"/>
      <w:marLeft w:val="0"/>
      <w:marRight w:val="0"/>
      <w:marTop w:val="0"/>
      <w:marBottom w:val="0"/>
      <w:divBdr>
        <w:top w:val="none" w:sz="0" w:space="0" w:color="auto"/>
        <w:left w:val="none" w:sz="0" w:space="0" w:color="auto"/>
        <w:bottom w:val="none" w:sz="0" w:space="0" w:color="auto"/>
        <w:right w:val="none" w:sz="0" w:space="0" w:color="auto"/>
      </w:divBdr>
    </w:div>
    <w:div w:id="1328441469">
      <w:bodyDiv w:val="1"/>
      <w:marLeft w:val="0"/>
      <w:marRight w:val="0"/>
      <w:marTop w:val="0"/>
      <w:marBottom w:val="0"/>
      <w:divBdr>
        <w:top w:val="none" w:sz="0" w:space="0" w:color="auto"/>
        <w:left w:val="none" w:sz="0" w:space="0" w:color="auto"/>
        <w:bottom w:val="none" w:sz="0" w:space="0" w:color="auto"/>
        <w:right w:val="none" w:sz="0" w:space="0" w:color="auto"/>
      </w:divBdr>
    </w:div>
    <w:div w:id="1370494552">
      <w:bodyDiv w:val="1"/>
      <w:marLeft w:val="0"/>
      <w:marRight w:val="0"/>
      <w:marTop w:val="0"/>
      <w:marBottom w:val="0"/>
      <w:divBdr>
        <w:top w:val="none" w:sz="0" w:space="0" w:color="auto"/>
        <w:left w:val="none" w:sz="0" w:space="0" w:color="auto"/>
        <w:bottom w:val="none" w:sz="0" w:space="0" w:color="auto"/>
        <w:right w:val="none" w:sz="0" w:space="0" w:color="auto"/>
      </w:divBdr>
    </w:div>
    <w:div w:id="1524972735">
      <w:bodyDiv w:val="1"/>
      <w:marLeft w:val="0"/>
      <w:marRight w:val="0"/>
      <w:marTop w:val="0"/>
      <w:marBottom w:val="0"/>
      <w:divBdr>
        <w:top w:val="none" w:sz="0" w:space="0" w:color="auto"/>
        <w:left w:val="none" w:sz="0" w:space="0" w:color="auto"/>
        <w:bottom w:val="none" w:sz="0" w:space="0" w:color="auto"/>
        <w:right w:val="none" w:sz="0" w:space="0" w:color="auto"/>
      </w:divBdr>
    </w:div>
    <w:div w:id="1536649999">
      <w:bodyDiv w:val="1"/>
      <w:marLeft w:val="0"/>
      <w:marRight w:val="0"/>
      <w:marTop w:val="0"/>
      <w:marBottom w:val="0"/>
      <w:divBdr>
        <w:top w:val="none" w:sz="0" w:space="0" w:color="auto"/>
        <w:left w:val="none" w:sz="0" w:space="0" w:color="auto"/>
        <w:bottom w:val="none" w:sz="0" w:space="0" w:color="auto"/>
        <w:right w:val="none" w:sz="0" w:space="0" w:color="auto"/>
      </w:divBdr>
    </w:div>
    <w:div w:id="1554149817">
      <w:bodyDiv w:val="1"/>
      <w:marLeft w:val="0"/>
      <w:marRight w:val="0"/>
      <w:marTop w:val="0"/>
      <w:marBottom w:val="0"/>
      <w:divBdr>
        <w:top w:val="none" w:sz="0" w:space="0" w:color="auto"/>
        <w:left w:val="none" w:sz="0" w:space="0" w:color="auto"/>
        <w:bottom w:val="none" w:sz="0" w:space="0" w:color="auto"/>
        <w:right w:val="none" w:sz="0" w:space="0" w:color="auto"/>
      </w:divBdr>
    </w:div>
    <w:div w:id="1569221658">
      <w:bodyDiv w:val="1"/>
      <w:marLeft w:val="0"/>
      <w:marRight w:val="0"/>
      <w:marTop w:val="0"/>
      <w:marBottom w:val="0"/>
      <w:divBdr>
        <w:top w:val="none" w:sz="0" w:space="0" w:color="auto"/>
        <w:left w:val="none" w:sz="0" w:space="0" w:color="auto"/>
        <w:bottom w:val="none" w:sz="0" w:space="0" w:color="auto"/>
        <w:right w:val="none" w:sz="0" w:space="0" w:color="auto"/>
      </w:divBdr>
    </w:div>
    <w:div w:id="1570116792">
      <w:bodyDiv w:val="1"/>
      <w:marLeft w:val="0"/>
      <w:marRight w:val="0"/>
      <w:marTop w:val="0"/>
      <w:marBottom w:val="0"/>
      <w:divBdr>
        <w:top w:val="none" w:sz="0" w:space="0" w:color="auto"/>
        <w:left w:val="none" w:sz="0" w:space="0" w:color="auto"/>
        <w:bottom w:val="none" w:sz="0" w:space="0" w:color="auto"/>
        <w:right w:val="none" w:sz="0" w:space="0" w:color="auto"/>
      </w:divBdr>
      <w:divsChild>
        <w:div w:id="818545970">
          <w:marLeft w:val="0"/>
          <w:marRight w:val="0"/>
          <w:marTop w:val="0"/>
          <w:marBottom w:val="0"/>
          <w:divBdr>
            <w:top w:val="none" w:sz="0" w:space="0" w:color="auto"/>
            <w:left w:val="none" w:sz="0" w:space="0" w:color="auto"/>
            <w:bottom w:val="none" w:sz="0" w:space="0" w:color="auto"/>
            <w:right w:val="none" w:sz="0" w:space="0" w:color="auto"/>
          </w:divBdr>
        </w:div>
      </w:divsChild>
    </w:div>
    <w:div w:id="1887176730">
      <w:bodyDiv w:val="1"/>
      <w:marLeft w:val="0"/>
      <w:marRight w:val="0"/>
      <w:marTop w:val="0"/>
      <w:marBottom w:val="0"/>
      <w:divBdr>
        <w:top w:val="none" w:sz="0" w:space="0" w:color="auto"/>
        <w:left w:val="none" w:sz="0" w:space="0" w:color="auto"/>
        <w:bottom w:val="none" w:sz="0" w:space="0" w:color="auto"/>
        <w:right w:val="none" w:sz="0" w:space="0" w:color="auto"/>
      </w:divBdr>
    </w:div>
    <w:div w:id="1947541940">
      <w:bodyDiv w:val="1"/>
      <w:marLeft w:val="0"/>
      <w:marRight w:val="0"/>
      <w:marTop w:val="0"/>
      <w:marBottom w:val="0"/>
      <w:divBdr>
        <w:top w:val="none" w:sz="0" w:space="0" w:color="auto"/>
        <w:left w:val="none" w:sz="0" w:space="0" w:color="auto"/>
        <w:bottom w:val="none" w:sz="0" w:space="0" w:color="auto"/>
        <w:right w:val="none" w:sz="0" w:space="0" w:color="auto"/>
      </w:divBdr>
    </w:div>
    <w:div w:id="1947620255">
      <w:bodyDiv w:val="1"/>
      <w:marLeft w:val="0"/>
      <w:marRight w:val="0"/>
      <w:marTop w:val="0"/>
      <w:marBottom w:val="0"/>
      <w:divBdr>
        <w:top w:val="none" w:sz="0" w:space="0" w:color="auto"/>
        <w:left w:val="none" w:sz="0" w:space="0" w:color="auto"/>
        <w:bottom w:val="none" w:sz="0" w:space="0" w:color="auto"/>
        <w:right w:val="none" w:sz="0" w:space="0" w:color="auto"/>
      </w:divBdr>
    </w:div>
    <w:div w:id="1957515816">
      <w:bodyDiv w:val="1"/>
      <w:marLeft w:val="0"/>
      <w:marRight w:val="0"/>
      <w:marTop w:val="0"/>
      <w:marBottom w:val="0"/>
      <w:divBdr>
        <w:top w:val="none" w:sz="0" w:space="0" w:color="auto"/>
        <w:left w:val="none" w:sz="0" w:space="0" w:color="auto"/>
        <w:bottom w:val="none" w:sz="0" w:space="0" w:color="auto"/>
        <w:right w:val="none" w:sz="0" w:space="0" w:color="auto"/>
      </w:divBdr>
    </w:div>
    <w:div w:id="2031032594">
      <w:bodyDiv w:val="1"/>
      <w:marLeft w:val="0"/>
      <w:marRight w:val="0"/>
      <w:marTop w:val="0"/>
      <w:marBottom w:val="0"/>
      <w:divBdr>
        <w:top w:val="none" w:sz="0" w:space="0" w:color="auto"/>
        <w:left w:val="none" w:sz="0" w:space="0" w:color="auto"/>
        <w:bottom w:val="none" w:sz="0" w:space="0" w:color="auto"/>
        <w:right w:val="none" w:sz="0" w:space="0" w:color="auto"/>
      </w:divBdr>
    </w:div>
    <w:div w:id="2034838879">
      <w:bodyDiv w:val="1"/>
      <w:marLeft w:val="0"/>
      <w:marRight w:val="0"/>
      <w:marTop w:val="0"/>
      <w:marBottom w:val="0"/>
      <w:divBdr>
        <w:top w:val="none" w:sz="0" w:space="0" w:color="auto"/>
        <w:left w:val="none" w:sz="0" w:space="0" w:color="auto"/>
        <w:bottom w:val="none" w:sz="0" w:space="0" w:color="auto"/>
        <w:right w:val="none" w:sz="0" w:space="0" w:color="auto"/>
      </w:divBdr>
    </w:div>
    <w:div w:id="2042127774">
      <w:bodyDiv w:val="1"/>
      <w:marLeft w:val="0"/>
      <w:marRight w:val="0"/>
      <w:marTop w:val="0"/>
      <w:marBottom w:val="0"/>
      <w:divBdr>
        <w:top w:val="none" w:sz="0" w:space="0" w:color="auto"/>
        <w:left w:val="none" w:sz="0" w:space="0" w:color="auto"/>
        <w:bottom w:val="none" w:sz="0" w:space="0" w:color="auto"/>
        <w:right w:val="none" w:sz="0" w:space="0" w:color="auto"/>
      </w:divBdr>
    </w:div>
    <w:div w:id="2136555006">
      <w:bodyDiv w:val="1"/>
      <w:marLeft w:val="0"/>
      <w:marRight w:val="0"/>
      <w:marTop w:val="0"/>
      <w:marBottom w:val="0"/>
      <w:divBdr>
        <w:top w:val="none" w:sz="0" w:space="0" w:color="auto"/>
        <w:left w:val="none" w:sz="0" w:space="0" w:color="auto"/>
        <w:bottom w:val="none" w:sz="0" w:space="0" w:color="auto"/>
        <w:right w:val="none" w:sz="0" w:space="0" w:color="auto"/>
      </w:divBdr>
    </w:div>
    <w:div w:id="2142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hart" Target="charts/chart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eader" Target="header2.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2020-21BP3/Shared%20Documents/General/9.%20Financials/2020-21OutcomeSV%20Master.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2020-21BP3/Shared%20Documents/General/9.%20Financials/2020-21OutcomeSV%20Mast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nswgov.sharepoint.com/sites/2020-21BP3-RelationshipLeads/Shared%20Documents/General/06.%20Regional%20NSW%20Cluster/03.%20White/Attachment%20B%20&#8211;%20Outcome%20Indicator%20%20-%20Regional%20NSW%20(WHIT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ChartsRNSW!$D$1</c:f>
              <c:strCache>
                <c:ptCount val="1"/>
                <c:pt idx="0">
                  <c:v>Rec</c:v>
                </c:pt>
              </c:strCache>
            </c:strRef>
          </c:tx>
          <c:dPt>
            <c:idx val="0"/>
            <c:bubble3D val="0"/>
            <c:spPr>
              <a:solidFill>
                <a:srgbClr val="00426F"/>
              </a:solidFill>
              <a:ln>
                <a:noFill/>
              </a:ln>
              <a:effectLst/>
            </c:spPr>
            <c:extLst>
              <c:ext xmlns:c16="http://schemas.microsoft.com/office/drawing/2014/chart" uri="{C3380CC4-5D6E-409C-BE32-E72D297353CC}">
                <c16:uniqueId val="{00000001-BA5C-47A0-90A2-73F8C47BB9B0}"/>
              </c:ext>
            </c:extLst>
          </c:dPt>
          <c:dPt>
            <c:idx val="1"/>
            <c:bubble3D val="0"/>
            <c:spPr>
              <a:solidFill>
                <a:srgbClr val="008EBA"/>
              </a:solidFill>
              <a:ln>
                <a:noFill/>
              </a:ln>
              <a:effectLst/>
            </c:spPr>
            <c:extLst>
              <c:ext xmlns:c16="http://schemas.microsoft.com/office/drawing/2014/chart" uri="{C3380CC4-5D6E-409C-BE32-E72D297353CC}">
                <c16:uniqueId val="{00000003-BA5C-47A0-90A2-73F8C47BB9B0}"/>
              </c:ext>
            </c:extLst>
          </c:dPt>
          <c:dPt>
            <c:idx val="2"/>
            <c:bubble3D val="0"/>
            <c:spPr>
              <a:solidFill>
                <a:srgbClr val="53C8E9"/>
              </a:solidFill>
              <a:ln>
                <a:noFill/>
              </a:ln>
              <a:effectLst/>
            </c:spPr>
            <c:extLst>
              <c:ext xmlns:c16="http://schemas.microsoft.com/office/drawing/2014/chart" uri="{C3380CC4-5D6E-409C-BE32-E72D297353CC}">
                <c16:uniqueId val="{00000005-BA5C-47A0-90A2-73F8C47BB9B0}"/>
              </c:ext>
            </c:extLst>
          </c:dPt>
          <c:dPt>
            <c:idx val="3"/>
            <c:bubble3D val="0"/>
            <c:spPr>
              <a:solidFill>
                <a:srgbClr val="9ACA3C"/>
              </a:solidFill>
              <a:ln>
                <a:noFill/>
              </a:ln>
              <a:effectLst/>
            </c:spPr>
            <c:extLst>
              <c:ext xmlns:c16="http://schemas.microsoft.com/office/drawing/2014/chart" uri="{C3380CC4-5D6E-409C-BE32-E72D297353CC}">
                <c16:uniqueId val="{00000007-BA5C-47A0-90A2-73F8C47BB9B0}"/>
              </c:ext>
            </c:extLst>
          </c:dPt>
          <c:dLbls>
            <c:dLbl>
              <c:idx val="0"/>
              <c:layout>
                <c:manualLayout>
                  <c:x val="4.675027777777771E-2"/>
                  <c:y val="-0.14885149262730163"/>
                </c:manualLayout>
              </c:layout>
              <c:showLegendKey val="0"/>
              <c:showVal val="0"/>
              <c:showCatName val="1"/>
              <c:showSerName val="0"/>
              <c:showPercent val="0"/>
              <c:showBubbleSize val="0"/>
              <c:extLst>
                <c:ext xmlns:c15="http://schemas.microsoft.com/office/drawing/2012/chart" uri="{CE6537A1-D6FC-4f65-9D91-7224C49458BB}">
                  <c15:layout>
                    <c:manualLayout>
                      <c:w val="0.19665597222222223"/>
                      <c:h val="0.10784946089773779"/>
                    </c:manualLayout>
                  </c15:layout>
                </c:ext>
                <c:ext xmlns:c16="http://schemas.microsoft.com/office/drawing/2014/chart" uri="{C3380CC4-5D6E-409C-BE32-E72D297353CC}">
                  <c16:uniqueId val="{00000001-BA5C-47A0-90A2-73F8C47BB9B0}"/>
                </c:ext>
              </c:extLst>
            </c:dLbl>
            <c:dLbl>
              <c:idx val="1"/>
              <c:layout>
                <c:manualLayout>
                  <c:x val="0.14536881944444444"/>
                  <c:y val="-6.7772571423371064E-2"/>
                </c:manualLayout>
              </c:layout>
              <c:showLegendKey val="0"/>
              <c:showVal val="0"/>
              <c:showCatName val="1"/>
              <c:showSerName val="0"/>
              <c:showPercent val="0"/>
              <c:showBubbleSize val="0"/>
              <c:extLst>
                <c:ext xmlns:c15="http://schemas.microsoft.com/office/drawing/2012/chart" uri="{CE6537A1-D6FC-4f65-9D91-7224C49458BB}">
                  <c15:layout>
                    <c:manualLayout>
                      <c:w val="0.21196652777777775"/>
                      <c:h val="0.12384990000614297"/>
                    </c:manualLayout>
                  </c15:layout>
                </c:ext>
                <c:ext xmlns:c16="http://schemas.microsoft.com/office/drawing/2014/chart" uri="{C3380CC4-5D6E-409C-BE32-E72D297353CC}">
                  <c16:uniqueId val="{00000003-BA5C-47A0-90A2-73F8C47BB9B0}"/>
                </c:ext>
              </c:extLst>
            </c:dLbl>
            <c:dLbl>
              <c:idx val="2"/>
              <c:layout>
                <c:manualLayout>
                  <c:x val="0.2027511111111111"/>
                  <c:y val="2.4901485005471791E-2"/>
                </c:manualLayout>
              </c:layout>
              <c:showLegendKey val="0"/>
              <c:showVal val="0"/>
              <c:showCatName val="1"/>
              <c:showSerName val="0"/>
              <c:showPercent val="0"/>
              <c:showBubbleSize val="0"/>
              <c:extLst>
                <c:ext xmlns:c15="http://schemas.microsoft.com/office/drawing/2012/chart" uri="{CE6537A1-D6FC-4f65-9D91-7224C49458BB}">
                  <c15:layout>
                    <c:manualLayout>
                      <c:w val="0.1907136111111111"/>
                      <c:h val="0.13262666457350744"/>
                    </c:manualLayout>
                  </c15:layout>
                </c:ext>
                <c:ext xmlns:c16="http://schemas.microsoft.com/office/drawing/2014/chart" uri="{C3380CC4-5D6E-409C-BE32-E72D297353CC}">
                  <c16:uniqueId val="{00000005-BA5C-47A0-90A2-73F8C47BB9B0}"/>
                </c:ext>
              </c:extLst>
            </c:dLbl>
            <c:dLbl>
              <c:idx val="3"/>
              <c:layout>
                <c:manualLayout>
                  <c:x val="-0.14912821444651836"/>
                  <c:y val="-2.9949924394484823E-2"/>
                </c:manualLayout>
              </c:layout>
              <c:showLegendKey val="0"/>
              <c:showVal val="0"/>
              <c:showCatName val="1"/>
              <c:showSerName val="0"/>
              <c:showPercent val="0"/>
              <c:showBubbleSize val="0"/>
              <c:extLst>
                <c:ext xmlns:c15="http://schemas.microsoft.com/office/drawing/2012/chart" uri="{CE6537A1-D6FC-4f65-9D91-7224C49458BB}">
                  <c15:layout>
                    <c:manualLayout>
                      <c:w val="0.18609910156083911"/>
                      <c:h val="0.11245686608429045"/>
                    </c:manualLayout>
                  </c15:layout>
                </c:ext>
                <c:ext xmlns:c16="http://schemas.microsoft.com/office/drawing/2014/chart" uri="{C3380CC4-5D6E-409C-BE32-E72D297353CC}">
                  <c16:uniqueId val="{00000007-BA5C-47A0-90A2-73F8C47BB9B0}"/>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(ChartsRNSW!$C$2:$C$8,ChartsRNSW!$C$10)</c:f>
              <c:strCache>
                <c:ptCount val="4"/>
                <c:pt idx="0">
                  <c:v>Mineral and petroleum industries generating prosperity, safely $106.4m, 4%</c:v>
                </c:pt>
                <c:pt idx="1">
                  <c:v>Productive and sustainable land use $376.4m, 16%</c:v>
                </c:pt>
                <c:pt idx="2">
                  <c:v>Stronger and cohesive regional communities and economies $1.3b, 55%</c:v>
                </c:pt>
                <c:pt idx="3">
                  <c:v>Stronger primary industries $596.5m, 25%</c:v>
                </c:pt>
              </c:strCache>
            </c:strRef>
          </c:cat>
          <c:val>
            <c:numRef>
              <c:f>(ChartsRNSW!$D$2:$D$8,ChartsRNSW!$D$10)</c:f>
              <c:numCache>
                <c:formatCode>"$"#,##0.0;\-"$"#,##0.0</c:formatCode>
                <c:ptCount val="4"/>
                <c:pt idx="0">
                  <c:v>106401147.78</c:v>
                </c:pt>
                <c:pt idx="1">
                  <c:v>376361133.93000001</c:v>
                </c:pt>
                <c:pt idx="2">
                  <c:v>1295979532.01</c:v>
                </c:pt>
                <c:pt idx="3">
                  <c:v>596493692.15999997</c:v>
                </c:pt>
              </c:numCache>
            </c:numRef>
          </c:val>
          <c:extLst>
            <c:ext xmlns:c16="http://schemas.microsoft.com/office/drawing/2014/chart" uri="{C3380CC4-5D6E-409C-BE32-E72D297353CC}">
              <c16:uniqueId val="{00000008-BA5C-47A0-90A2-73F8C47BB9B0}"/>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charts'!$K$186</c:f>
              <c:strCache>
                <c:ptCount val="1"/>
                <c:pt idx="0">
                  <c:v>%</c:v>
                </c:pt>
              </c:strCache>
            </c:strRef>
          </c:tx>
          <c:spPr>
            <a:ln w="28575" cap="rnd">
              <a:solidFill>
                <a:srgbClr val="00426F"/>
              </a:solidFill>
              <a:round/>
            </a:ln>
            <a:effectLst/>
          </c:spPr>
          <c:marker>
            <c:symbol val="none"/>
          </c:marker>
          <c:cat>
            <c:strRef>
              <c:f>'Mauve BP3 charts'!$J$187:$J$193</c:f>
              <c:strCache>
                <c:ptCount val="7"/>
                <c:pt idx="0">
                  <c:v>2016
Actual</c:v>
                </c:pt>
                <c:pt idx="1">
                  <c:v>2017
Actual</c:v>
                </c:pt>
                <c:pt idx="2">
                  <c:v>2018
Actual</c:v>
                </c:pt>
                <c:pt idx="3">
                  <c:v>2019
Actual</c:v>
                </c:pt>
                <c:pt idx="4">
                  <c:v>2020
Forecast</c:v>
                </c:pt>
                <c:pt idx="5">
                  <c:v>…</c:v>
                </c:pt>
                <c:pt idx="6">
                  <c:v>2025
Target</c:v>
                </c:pt>
              </c:strCache>
            </c:strRef>
          </c:cat>
          <c:val>
            <c:numRef>
              <c:f>'Mauve BP3 charts'!$K$187:$K$193</c:f>
              <c:numCache>
                <c:formatCode>General</c:formatCode>
                <c:ptCount val="7"/>
                <c:pt idx="0">
                  <c:v>8.6</c:v>
                </c:pt>
                <c:pt idx="1">
                  <c:v>9.1</c:v>
                </c:pt>
                <c:pt idx="2">
                  <c:v>11</c:v>
                </c:pt>
                <c:pt idx="3">
                  <c:v>11.2</c:v>
                </c:pt>
              </c:numCache>
            </c:numRef>
          </c:val>
          <c:smooth val="0"/>
          <c:extLst>
            <c:ext xmlns:c16="http://schemas.microsoft.com/office/drawing/2014/chart" uri="{C3380CC4-5D6E-409C-BE32-E72D297353CC}">
              <c16:uniqueId val="{00000000-9F86-4EBC-A8F5-B3560CC6495C}"/>
            </c:ext>
          </c:extLst>
        </c:ser>
        <c:ser>
          <c:idx val="1"/>
          <c:order val="1"/>
          <c:tx>
            <c:strRef>
              <c:f>'Mauve BP3 charts'!$L$186</c:f>
              <c:strCache>
                <c:ptCount val="1"/>
                <c:pt idx="0">
                  <c:v>%</c:v>
                </c:pt>
              </c:strCache>
            </c:strRef>
          </c:tx>
          <c:spPr>
            <a:ln w="28575" cap="rnd">
              <a:solidFill>
                <a:srgbClr val="00426F"/>
              </a:solidFill>
              <a:prstDash val="dash"/>
              <a:round/>
            </a:ln>
            <a:effectLst/>
          </c:spPr>
          <c:marker>
            <c:symbol val="none"/>
          </c:marker>
          <c:cat>
            <c:strRef>
              <c:f>'Mauve BP3 charts'!$J$187:$J$193</c:f>
              <c:strCache>
                <c:ptCount val="7"/>
                <c:pt idx="0">
                  <c:v>2016
Actual</c:v>
                </c:pt>
                <c:pt idx="1">
                  <c:v>2017
Actual</c:v>
                </c:pt>
                <c:pt idx="2">
                  <c:v>2018
Actual</c:v>
                </c:pt>
                <c:pt idx="3">
                  <c:v>2019
Actual</c:v>
                </c:pt>
                <c:pt idx="4">
                  <c:v>2020
Forecast</c:v>
                </c:pt>
                <c:pt idx="5">
                  <c:v>…</c:v>
                </c:pt>
                <c:pt idx="6">
                  <c:v>2025
Target</c:v>
                </c:pt>
              </c:strCache>
            </c:strRef>
          </c:cat>
          <c:val>
            <c:numRef>
              <c:f>'Mauve BP3 charts'!$L$187:$L$193</c:f>
              <c:numCache>
                <c:formatCode>General</c:formatCode>
                <c:ptCount val="7"/>
                <c:pt idx="3">
                  <c:v>11.2</c:v>
                </c:pt>
                <c:pt idx="4">
                  <c:v>10</c:v>
                </c:pt>
              </c:numCache>
            </c:numRef>
          </c:val>
          <c:smooth val="0"/>
          <c:extLst>
            <c:ext xmlns:c16="http://schemas.microsoft.com/office/drawing/2014/chart" uri="{C3380CC4-5D6E-409C-BE32-E72D297353CC}">
              <c16:uniqueId val="{00000001-9F86-4EBC-A8F5-B3560CC6495C}"/>
            </c:ext>
          </c:extLst>
        </c:ser>
        <c:ser>
          <c:idx val="2"/>
          <c:order val="2"/>
          <c:tx>
            <c:strRef>
              <c:f>'Mauve BP3 charts'!$M$186</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charts'!$J$187:$J$193</c:f>
              <c:strCache>
                <c:ptCount val="7"/>
                <c:pt idx="0">
                  <c:v>2016
Actual</c:v>
                </c:pt>
                <c:pt idx="1">
                  <c:v>2017
Actual</c:v>
                </c:pt>
                <c:pt idx="2">
                  <c:v>2018
Actual</c:v>
                </c:pt>
                <c:pt idx="3">
                  <c:v>2019
Actual</c:v>
                </c:pt>
                <c:pt idx="4">
                  <c:v>2020
Forecast</c:v>
                </c:pt>
                <c:pt idx="5">
                  <c:v>…</c:v>
                </c:pt>
                <c:pt idx="6">
                  <c:v>2025
Target</c:v>
                </c:pt>
              </c:strCache>
            </c:strRef>
          </c:cat>
          <c:val>
            <c:numRef>
              <c:f>'Mauve BP3 charts'!$M$187:$M$193</c:f>
              <c:numCache>
                <c:formatCode>General</c:formatCode>
                <c:ptCount val="7"/>
                <c:pt idx="6">
                  <c:v>10</c:v>
                </c:pt>
              </c:numCache>
            </c:numRef>
          </c:val>
          <c:smooth val="0"/>
          <c:extLst>
            <c:ext xmlns:c16="http://schemas.microsoft.com/office/drawing/2014/chart" uri="{C3380CC4-5D6E-409C-BE32-E72D297353CC}">
              <c16:uniqueId val="{00000002-9F86-4EBC-A8F5-B3560CC6495C}"/>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5658756197142019"/>
        </c:manualLayout>
      </c:layout>
      <c:lineChart>
        <c:grouping val="standard"/>
        <c:varyColors val="0"/>
        <c:ser>
          <c:idx val="0"/>
          <c:order val="0"/>
          <c:tx>
            <c:strRef>
              <c:f>'Mauve BP3 charts'!$K$211</c:f>
              <c:strCache>
                <c:ptCount val="1"/>
                <c:pt idx="0">
                  <c:v>WHS</c:v>
                </c:pt>
              </c:strCache>
            </c:strRef>
          </c:tx>
          <c:spPr>
            <a:ln w="28575" cap="rnd">
              <a:solidFill>
                <a:srgbClr val="00426F"/>
              </a:solidFill>
              <a:round/>
            </a:ln>
            <a:effectLst/>
          </c:spPr>
          <c:marker>
            <c:symbol val="none"/>
          </c:marker>
          <c:cat>
            <c:strRef>
              <c:f>'Mauve BP3 charts'!$J$214:$J$216</c:f>
              <c:strCache>
                <c:ptCount val="3"/>
                <c:pt idx="0">
                  <c:v>2019-20
Actual</c:v>
                </c:pt>
                <c:pt idx="2">
                  <c:v>2020-21
Forecast</c:v>
                </c:pt>
              </c:strCache>
            </c:strRef>
          </c:cat>
          <c:val>
            <c:numRef>
              <c:f>'Mauve BP3 charts'!$K$214:$K$216</c:f>
              <c:numCache>
                <c:formatCode>General</c:formatCode>
                <c:ptCount val="3"/>
                <c:pt idx="0">
                  <c:v>98</c:v>
                </c:pt>
                <c:pt idx="1">
                  <c:v>99</c:v>
                </c:pt>
              </c:numCache>
            </c:numRef>
          </c:val>
          <c:smooth val="0"/>
          <c:extLst>
            <c:ext xmlns:c16="http://schemas.microsoft.com/office/drawing/2014/chart" uri="{C3380CC4-5D6E-409C-BE32-E72D297353CC}">
              <c16:uniqueId val="{00000000-7CB7-4D44-B83F-6483382DABBE}"/>
            </c:ext>
          </c:extLst>
        </c:ser>
        <c:ser>
          <c:idx val="1"/>
          <c:order val="1"/>
          <c:tx>
            <c:strRef>
              <c:f>'Mauve BP3 charts'!$L$211</c:f>
              <c:strCache>
                <c:ptCount val="1"/>
                <c:pt idx="0">
                  <c:v>WHS</c:v>
                </c:pt>
              </c:strCache>
            </c:strRef>
          </c:tx>
          <c:spPr>
            <a:ln w="28575" cap="rnd">
              <a:solidFill>
                <a:srgbClr val="00426F"/>
              </a:solidFill>
              <a:prstDash val="dash"/>
              <a:round/>
            </a:ln>
            <a:effectLst/>
          </c:spPr>
          <c:marker>
            <c:symbol val="none"/>
          </c:marker>
          <c:cat>
            <c:strRef>
              <c:f>'Mauve BP3 charts'!$J$214:$J$216</c:f>
              <c:strCache>
                <c:ptCount val="3"/>
                <c:pt idx="0">
                  <c:v>2019-20
Actual</c:v>
                </c:pt>
                <c:pt idx="2">
                  <c:v>2020-21
Forecast</c:v>
                </c:pt>
              </c:strCache>
            </c:strRef>
          </c:cat>
          <c:val>
            <c:numRef>
              <c:f>'Mauve BP3 charts'!$L$214:$L$216</c:f>
              <c:numCache>
                <c:formatCode>General</c:formatCode>
                <c:ptCount val="3"/>
                <c:pt idx="0">
                  <c:v>98</c:v>
                </c:pt>
                <c:pt idx="1">
                  <c:v>99</c:v>
                </c:pt>
                <c:pt idx="2">
                  <c:v>100</c:v>
                </c:pt>
              </c:numCache>
            </c:numRef>
          </c:val>
          <c:smooth val="0"/>
          <c:extLst>
            <c:ext xmlns:c16="http://schemas.microsoft.com/office/drawing/2014/chart" uri="{C3380CC4-5D6E-409C-BE32-E72D297353CC}">
              <c16:uniqueId val="{00000001-7CB7-4D44-B83F-6483382DABBE}"/>
            </c:ext>
          </c:extLst>
        </c:ser>
        <c:ser>
          <c:idx val="2"/>
          <c:order val="2"/>
          <c:tx>
            <c:strRef>
              <c:f>'Mauve BP3 charts'!$M$211</c:f>
              <c:strCache>
                <c:ptCount val="1"/>
                <c:pt idx="0">
                  <c:v>WHS</c:v>
                </c:pt>
              </c:strCache>
            </c:strRef>
          </c:tx>
          <c:spPr>
            <a:ln w="28575" cap="rnd">
              <a:noFill/>
              <a:round/>
            </a:ln>
            <a:effectLst/>
          </c:spPr>
          <c:marker>
            <c:symbol val="diamond"/>
            <c:size val="9"/>
            <c:spPr>
              <a:solidFill>
                <a:srgbClr val="00426F"/>
              </a:solidFill>
              <a:ln w="9525">
                <a:noFill/>
              </a:ln>
              <a:effectLst/>
            </c:spPr>
          </c:marker>
          <c:cat>
            <c:strRef>
              <c:f>'Mauve BP3 charts'!$J$214:$J$216</c:f>
              <c:strCache>
                <c:ptCount val="3"/>
                <c:pt idx="0">
                  <c:v>2019-20
Actual</c:v>
                </c:pt>
                <c:pt idx="2">
                  <c:v>2020-21
Forecast</c:v>
                </c:pt>
              </c:strCache>
            </c:strRef>
          </c:cat>
          <c:val>
            <c:numRef>
              <c:f>'Mauve BP3 charts'!$M$214:$M$216</c:f>
              <c:numCache>
                <c:formatCode>General</c:formatCode>
                <c:ptCount val="3"/>
              </c:numCache>
            </c:numRef>
          </c:val>
          <c:smooth val="0"/>
          <c:extLst>
            <c:ext xmlns:c16="http://schemas.microsoft.com/office/drawing/2014/chart" uri="{C3380CC4-5D6E-409C-BE32-E72D297353CC}">
              <c16:uniqueId val="{00000002-7CB7-4D44-B83F-6483382DABBE}"/>
            </c:ext>
          </c:extLst>
        </c:ser>
        <c:ser>
          <c:idx val="3"/>
          <c:order val="3"/>
          <c:tx>
            <c:strRef>
              <c:f>'Mauve BP3 charts'!$N$211</c:f>
              <c:strCache>
                <c:ptCount val="1"/>
                <c:pt idx="0">
                  <c:v>Mining Act</c:v>
                </c:pt>
              </c:strCache>
            </c:strRef>
          </c:tx>
          <c:spPr>
            <a:ln w="28575" cap="rnd">
              <a:solidFill>
                <a:srgbClr val="008EBA"/>
              </a:solidFill>
              <a:round/>
            </a:ln>
            <a:effectLst/>
          </c:spPr>
          <c:marker>
            <c:symbol val="none"/>
          </c:marker>
          <c:cat>
            <c:strRef>
              <c:f>'Mauve BP3 charts'!$J$214:$J$216</c:f>
              <c:strCache>
                <c:ptCount val="3"/>
                <c:pt idx="0">
                  <c:v>2019-20
Actual</c:v>
                </c:pt>
                <c:pt idx="2">
                  <c:v>2020-21
Forecast</c:v>
                </c:pt>
              </c:strCache>
            </c:strRef>
          </c:cat>
          <c:val>
            <c:numRef>
              <c:f>'Mauve BP3 charts'!$N$214:$N$216</c:f>
              <c:numCache>
                <c:formatCode>General</c:formatCode>
                <c:ptCount val="3"/>
                <c:pt idx="0">
                  <c:v>44</c:v>
                </c:pt>
                <c:pt idx="1">
                  <c:v>47</c:v>
                </c:pt>
              </c:numCache>
            </c:numRef>
          </c:val>
          <c:smooth val="0"/>
          <c:extLst>
            <c:ext xmlns:c16="http://schemas.microsoft.com/office/drawing/2014/chart" uri="{C3380CC4-5D6E-409C-BE32-E72D297353CC}">
              <c16:uniqueId val="{00000003-7CB7-4D44-B83F-6483382DABBE}"/>
            </c:ext>
          </c:extLst>
        </c:ser>
        <c:ser>
          <c:idx val="4"/>
          <c:order val="4"/>
          <c:tx>
            <c:strRef>
              <c:f>'Mauve BP3 charts'!$O$211</c:f>
              <c:strCache>
                <c:ptCount val="1"/>
                <c:pt idx="0">
                  <c:v>Mining Act</c:v>
                </c:pt>
              </c:strCache>
            </c:strRef>
          </c:tx>
          <c:spPr>
            <a:ln w="28575" cap="rnd">
              <a:solidFill>
                <a:srgbClr val="008EBA"/>
              </a:solidFill>
              <a:prstDash val="dash"/>
              <a:round/>
            </a:ln>
            <a:effectLst/>
          </c:spPr>
          <c:marker>
            <c:symbol val="none"/>
          </c:marker>
          <c:cat>
            <c:strRef>
              <c:f>'Mauve BP3 charts'!$J$214:$J$216</c:f>
              <c:strCache>
                <c:ptCount val="3"/>
                <c:pt idx="0">
                  <c:v>2019-20
Actual</c:v>
                </c:pt>
                <c:pt idx="2">
                  <c:v>2020-21
Forecast</c:v>
                </c:pt>
              </c:strCache>
            </c:strRef>
          </c:cat>
          <c:val>
            <c:numRef>
              <c:f>'Mauve BP3 charts'!$O$214:$O$216</c:f>
              <c:numCache>
                <c:formatCode>General</c:formatCode>
                <c:ptCount val="3"/>
                <c:pt idx="0">
                  <c:v>44</c:v>
                </c:pt>
                <c:pt idx="1">
                  <c:v>47</c:v>
                </c:pt>
                <c:pt idx="2">
                  <c:v>50</c:v>
                </c:pt>
              </c:numCache>
            </c:numRef>
          </c:val>
          <c:smooth val="0"/>
          <c:extLst>
            <c:ext xmlns:c16="http://schemas.microsoft.com/office/drawing/2014/chart" uri="{C3380CC4-5D6E-409C-BE32-E72D297353CC}">
              <c16:uniqueId val="{00000004-7CB7-4D44-B83F-6483382DABBE}"/>
            </c:ext>
          </c:extLst>
        </c:ser>
        <c:ser>
          <c:idx val="5"/>
          <c:order val="5"/>
          <c:tx>
            <c:strRef>
              <c:f>'Mauve BP3 charts'!$P$211</c:f>
              <c:strCache>
                <c:ptCount val="1"/>
                <c:pt idx="0">
                  <c:v>Mining Act</c:v>
                </c:pt>
              </c:strCache>
            </c:strRef>
          </c:tx>
          <c:spPr>
            <a:ln w="28575" cap="rnd">
              <a:noFill/>
              <a:round/>
            </a:ln>
            <a:effectLst/>
          </c:spPr>
          <c:marker>
            <c:symbol val="diamond"/>
            <c:size val="9"/>
            <c:spPr>
              <a:solidFill>
                <a:srgbClr val="008EBA"/>
              </a:solidFill>
              <a:ln w="9525">
                <a:noFill/>
              </a:ln>
              <a:effectLst/>
            </c:spPr>
          </c:marker>
          <c:cat>
            <c:strRef>
              <c:f>'Mauve BP3 charts'!$J$214:$J$216</c:f>
              <c:strCache>
                <c:ptCount val="3"/>
                <c:pt idx="0">
                  <c:v>2019-20
Actual</c:v>
                </c:pt>
                <c:pt idx="2">
                  <c:v>2020-21
Forecast</c:v>
                </c:pt>
              </c:strCache>
            </c:strRef>
          </c:cat>
          <c:val>
            <c:numRef>
              <c:f>'Mauve BP3 charts'!$P$214:$P$216</c:f>
              <c:numCache>
                <c:formatCode>General</c:formatCode>
                <c:ptCount val="3"/>
              </c:numCache>
            </c:numRef>
          </c:val>
          <c:smooth val="0"/>
          <c:extLst>
            <c:ext xmlns:c16="http://schemas.microsoft.com/office/drawing/2014/chart" uri="{C3380CC4-5D6E-409C-BE32-E72D297353CC}">
              <c16:uniqueId val="{00000005-7CB7-4D44-B83F-6483382DABBE}"/>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legend>
      <c:legendPos val="b"/>
      <c:legendEntry>
        <c:idx val="1"/>
        <c:delete val="1"/>
      </c:legendEntry>
      <c:legendEntry>
        <c:idx val="2"/>
        <c:delete val="1"/>
      </c:legendEntry>
      <c:legendEntry>
        <c:idx val="4"/>
        <c:delete val="1"/>
      </c:legendEntry>
      <c:legendEntry>
        <c:idx val="5"/>
        <c:delete val="1"/>
      </c:legendEntry>
      <c:layout>
        <c:manualLayout>
          <c:xMode val="edge"/>
          <c:yMode val="edge"/>
          <c:x val="7.3593613298337706E-3"/>
          <c:y val="0.90748323126275887"/>
          <c:w val="0.97694772528433949"/>
          <c:h val="8.7887139107611548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9608385044584"/>
          <c:y val="7.2821846553966188E-2"/>
          <c:w val="0.860564843301872"/>
          <c:h val="0.80445532084822302"/>
        </c:manualLayout>
      </c:layout>
      <c:lineChart>
        <c:grouping val="standard"/>
        <c:varyColors val="0"/>
        <c:ser>
          <c:idx val="0"/>
          <c:order val="0"/>
          <c:tx>
            <c:strRef>
              <c:f>'Mauve BP3 charts'!$K$241</c:f>
              <c:strCache>
                <c:ptCount val="1"/>
                <c:pt idx="0">
                  <c:v>%</c:v>
                </c:pt>
              </c:strCache>
            </c:strRef>
          </c:tx>
          <c:spPr>
            <a:ln w="28575" cap="rnd">
              <a:solidFill>
                <a:srgbClr val="00426F"/>
              </a:solidFill>
              <a:round/>
            </a:ln>
            <a:effectLst/>
          </c:spPr>
          <c:marker>
            <c:symbol val="none"/>
          </c:marker>
          <c:cat>
            <c:strRef>
              <c:f>'Mauve BP3 charts'!$J$242:$J$247</c:f>
              <c:strCache>
                <c:ptCount val="6"/>
                <c:pt idx="0">
                  <c:v>2016-17
Actual</c:v>
                </c:pt>
                <c:pt idx="1">
                  <c:v>2017-18
Actual</c:v>
                </c:pt>
                <c:pt idx="2">
                  <c:v>2018-19
Actual</c:v>
                </c:pt>
                <c:pt idx="3">
                  <c:v>2019-20
Actual</c:v>
                </c:pt>
                <c:pt idx="4">
                  <c:v>…</c:v>
                </c:pt>
                <c:pt idx="5">
                  <c:v>2022-23
Target</c:v>
                </c:pt>
              </c:strCache>
            </c:strRef>
          </c:cat>
          <c:val>
            <c:numRef>
              <c:f>'Mauve BP3 charts'!$K$242:$K$247</c:f>
              <c:numCache>
                <c:formatCode>General</c:formatCode>
                <c:ptCount val="6"/>
                <c:pt idx="0">
                  <c:v>-0.78</c:v>
                </c:pt>
                <c:pt idx="1">
                  <c:v>2.69</c:v>
                </c:pt>
                <c:pt idx="2">
                  <c:v>1.5</c:v>
                </c:pt>
                <c:pt idx="3">
                  <c:v>0.12</c:v>
                </c:pt>
              </c:numCache>
            </c:numRef>
          </c:val>
          <c:smooth val="0"/>
          <c:extLst>
            <c:ext xmlns:c16="http://schemas.microsoft.com/office/drawing/2014/chart" uri="{C3380CC4-5D6E-409C-BE32-E72D297353CC}">
              <c16:uniqueId val="{00000000-0643-4CE1-BB2A-04E2F0FEF371}"/>
            </c:ext>
          </c:extLst>
        </c:ser>
        <c:ser>
          <c:idx val="1"/>
          <c:order val="1"/>
          <c:tx>
            <c:strRef>
              <c:f>'Mauve BP3 charts'!$L$241</c:f>
              <c:strCache>
                <c:ptCount val="1"/>
                <c:pt idx="0">
                  <c:v>%</c:v>
                </c:pt>
              </c:strCache>
            </c:strRef>
          </c:tx>
          <c:spPr>
            <a:ln w="28575" cap="rnd">
              <a:solidFill>
                <a:srgbClr val="00426F"/>
              </a:solidFill>
              <a:prstDash val="dash"/>
              <a:round/>
            </a:ln>
            <a:effectLst/>
          </c:spPr>
          <c:marker>
            <c:symbol val="none"/>
          </c:marker>
          <c:cat>
            <c:strRef>
              <c:f>'Mauve BP3 charts'!$J$242:$J$247</c:f>
              <c:strCache>
                <c:ptCount val="6"/>
                <c:pt idx="0">
                  <c:v>2016-17
Actual</c:v>
                </c:pt>
                <c:pt idx="1">
                  <c:v>2017-18
Actual</c:v>
                </c:pt>
                <c:pt idx="2">
                  <c:v>2018-19
Actual</c:v>
                </c:pt>
                <c:pt idx="3">
                  <c:v>2019-20
Actual</c:v>
                </c:pt>
                <c:pt idx="4">
                  <c:v>…</c:v>
                </c:pt>
                <c:pt idx="5">
                  <c:v>2022-23
Target</c:v>
                </c:pt>
              </c:strCache>
            </c:strRef>
          </c:cat>
          <c:val>
            <c:numRef>
              <c:f>'Mauve BP3 charts'!$L$242:$L$247</c:f>
              <c:numCache>
                <c:formatCode>General</c:formatCode>
                <c:ptCount val="6"/>
              </c:numCache>
            </c:numRef>
          </c:val>
          <c:smooth val="0"/>
          <c:extLst>
            <c:ext xmlns:c16="http://schemas.microsoft.com/office/drawing/2014/chart" uri="{C3380CC4-5D6E-409C-BE32-E72D297353CC}">
              <c16:uniqueId val="{00000001-0643-4CE1-BB2A-04E2F0FEF371}"/>
            </c:ext>
          </c:extLst>
        </c:ser>
        <c:ser>
          <c:idx val="2"/>
          <c:order val="2"/>
          <c:tx>
            <c:strRef>
              <c:f>'Mauve BP3 charts'!$M$241</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charts'!$J$242:$J$247</c:f>
              <c:strCache>
                <c:ptCount val="6"/>
                <c:pt idx="0">
                  <c:v>2016-17
Actual</c:v>
                </c:pt>
                <c:pt idx="1">
                  <c:v>2017-18
Actual</c:v>
                </c:pt>
                <c:pt idx="2">
                  <c:v>2018-19
Actual</c:v>
                </c:pt>
                <c:pt idx="3">
                  <c:v>2019-20
Actual</c:v>
                </c:pt>
                <c:pt idx="4">
                  <c:v>…</c:v>
                </c:pt>
                <c:pt idx="5">
                  <c:v>2022-23
Target</c:v>
                </c:pt>
              </c:strCache>
            </c:strRef>
          </c:cat>
          <c:val>
            <c:numRef>
              <c:f>'Mauve BP3 charts'!$M$242:$M$247</c:f>
              <c:numCache>
                <c:formatCode>General</c:formatCode>
                <c:ptCount val="6"/>
                <c:pt idx="5">
                  <c:v>1.1000000000000001</c:v>
                </c:pt>
              </c:numCache>
            </c:numRef>
          </c:val>
          <c:smooth val="0"/>
          <c:extLst>
            <c:ext xmlns:c16="http://schemas.microsoft.com/office/drawing/2014/chart" uri="{C3380CC4-5D6E-409C-BE32-E72D297353CC}">
              <c16:uniqueId val="{00000002-0643-4CE1-BB2A-04E2F0FEF371}"/>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ChartsRNSW!$D$16</c:f>
              <c:strCache>
                <c:ptCount val="1"/>
                <c:pt idx="0">
                  <c:v>Cap</c:v>
                </c:pt>
              </c:strCache>
            </c:strRef>
          </c:tx>
          <c:dPt>
            <c:idx val="0"/>
            <c:bubble3D val="0"/>
            <c:spPr>
              <a:solidFill>
                <a:srgbClr val="00426F"/>
              </a:solidFill>
              <a:ln>
                <a:noFill/>
              </a:ln>
              <a:effectLst/>
            </c:spPr>
            <c:extLst>
              <c:ext xmlns:c16="http://schemas.microsoft.com/office/drawing/2014/chart" uri="{C3380CC4-5D6E-409C-BE32-E72D297353CC}">
                <c16:uniqueId val="{00000001-ED66-4EFB-83B0-60571F278FBD}"/>
              </c:ext>
            </c:extLst>
          </c:dPt>
          <c:dPt>
            <c:idx val="1"/>
            <c:bubble3D val="0"/>
            <c:spPr>
              <a:solidFill>
                <a:srgbClr val="008EBA"/>
              </a:solidFill>
              <a:ln>
                <a:noFill/>
              </a:ln>
              <a:effectLst/>
            </c:spPr>
            <c:extLst>
              <c:ext xmlns:c16="http://schemas.microsoft.com/office/drawing/2014/chart" uri="{C3380CC4-5D6E-409C-BE32-E72D297353CC}">
                <c16:uniqueId val="{00000003-ED66-4EFB-83B0-60571F278FBD}"/>
              </c:ext>
            </c:extLst>
          </c:dPt>
          <c:dPt>
            <c:idx val="2"/>
            <c:bubble3D val="0"/>
            <c:spPr>
              <a:solidFill>
                <a:srgbClr val="53C8E9"/>
              </a:solidFill>
              <a:ln>
                <a:noFill/>
              </a:ln>
              <a:effectLst/>
            </c:spPr>
            <c:extLst>
              <c:ext xmlns:c16="http://schemas.microsoft.com/office/drawing/2014/chart" uri="{C3380CC4-5D6E-409C-BE32-E72D297353CC}">
                <c16:uniqueId val="{00000005-ED66-4EFB-83B0-60571F278FBD}"/>
              </c:ext>
            </c:extLst>
          </c:dPt>
          <c:dLbls>
            <c:dLbl>
              <c:idx val="0"/>
              <c:layout>
                <c:manualLayout>
                  <c:x val="0.18977430555555555"/>
                  <c:y val="-0.14266757218555401"/>
                </c:manualLayout>
              </c:layout>
              <c:showLegendKey val="0"/>
              <c:showVal val="0"/>
              <c:showCatName val="1"/>
              <c:showSerName val="0"/>
              <c:showPercent val="0"/>
              <c:showBubbleSize val="0"/>
              <c:extLst>
                <c:ext xmlns:c15="http://schemas.microsoft.com/office/drawing/2012/chart" uri="{CE6537A1-D6FC-4f65-9D91-7224C49458BB}">
                  <c15:layout>
                    <c:manualLayout>
                      <c:w val="0.19860875"/>
                      <c:h val="0.16513320000819062"/>
                    </c:manualLayout>
                  </c15:layout>
                </c:ext>
                <c:ext xmlns:c16="http://schemas.microsoft.com/office/drawing/2014/chart" uri="{C3380CC4-5D6E-409C-BE32-E72D297353CC}">
                  <c16:uniqueId val="{00000001-ED66-4EFB-83B0-60571F278FBD}"/>
                </c:ext>
              </c:extLst>
            </c:dLbl>
            <c:dLbl>
              <c:idx val="1"/>
              <c:layout>
                <c:manualLayout>
                  <c:x val="-0.15345826388888889"/>
                  <c:y val="-6.1401091400528331E-2"/>
                </c:manualLayout>
              </c:layout>
              <c:showLegendKey val="0"/>
              <c:showVal val="0"/>
              <c:showCatName val="1"/>
              <c:showSerName val="0"/>
              <c:showPercent val="0"/>
              <c:showBubbleSize val="0"/>
              <c:extLst>
                <c:ext xmlns:c15="http://schemas.microsoft.com/office/drawing/2012/chart" uri="{CE6537A1-D6FC-4f65-9D91-7224C49458BB}">
                  <c15:layout>
                    <c:manualLayout>
                      <c:w val="0.19712333333333329"/>
                      <c:h val="0.13107357454718366"/>
                    </c:manualLayout>
                  </c15:layout>
                </c:ext>
                <c:ext xmlns:c16="http://schemas.microsoft.com/office/drawing/2014/chart" uri="{C3380CC4-5D6E-409C-BE32-E72D297353CC}">
                  <c16:uniqueId val="{00000003-ED66-4EFB-83B0-60571F278FBD}"/>
                </c:ext>
              </c:extLst>
            </c:dLbl>
            <c:dLbl>
              <c:idx val="2"/>
              <c:layout>
                <c:manualLayout>
                  <c:x val="-2.910416666666666E-2"/>
                  <c:y val="-0.14627940945607437"/>
                </c:manualLayout>
              </c:layout>
              <c:tx>
                <c:rich>
                  <a:bodyPr/>
                  <a:lstStyle/>
                  <a:p>
                    <a:r>
                      <a:rPr lang="en-US"/>
                      <a:t>Other State Outcomes</a:t>
                    </a:r>
                    <a:r>
                      <a:rPr lang="en-US" baseline="30000"/>
                      <a:t>(a)</a:t>
                    </a:r>
                    <a:r>
                      <a:rPr lang="en-US"/>
                      <a:t> $17.1m, 5%</a:t>
                    </a:r>
                  </a:p>
                </c:rich>
              </c:tx>
              <c:showLegendKey val="0"/>
              <c:showVal val="0"/>
              <c:showCatName val="1"/>
              <c:showSerName val="0"/>
              <c:showPercent val="0"/>
              <c:showBubbleSize val="0"/>
              <c:extLst>
                <c:ext xmlns:c15="http://schemas.microsoft.com/office/drawing/2012/chart" uri="{CE6537A1-D6FC-4f65-9D91-7224C49458BB}">
                  <c15:layout>
                    <c:manualLayout>
                      <c:w val="0.15151805555555556"/>
                      <c:h val="7.2597929137459119E-2"/>
                    </c:manualLayout>
                  </c15:layout>
                </c:ext>
                <c:ext xmlns:c16="http://schemas.microsoft.com/office/drawing/2014/chart" uri="{C3380CC4-5D6E-409C-BE32-E72D297353CC}">
                  <c16:uniqueId val="{00000005-ED66-4EFB-83B0-60571F278FBD}"/>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(ChartsRNSW!$C$17:$C$23,ChartsRNSW!$C$25)</c:f>
              <c:strCache>
                <c:ptCount val="3"/>
                <c:pt idx="0">
                  <c:v>Stronger and cohesive regional communities and economies $236.6m, 75%</c:v>
                </c:pt>
                <c:pt idx="1">
                  <c:v>Stronger primary industries $62.2m, 20%</c:v>
                </c:pt>
                <c:pt idx="2">
                  <c:v>Other State Outcomes(a) $17.1m, 5%</c:v>
                </c:pt>
              </c:strCache>
            </c:strRef>
          </c:cat>
          <c:val>
            <c:numRef>
              <c:f>(ChartsRNSW!$D$17:$D$23,ChartsRNSW!$D$25)</c:f>
              <c:numCache>
                <c:formatCode>"$"#,##0.0;\-"$"#,##0.0</c:formatCode>
                <c:ptCount val="3"/>
                <c:pt idx="0">
                  <c:v>236611000</c:v>
                </c:pt>
                <c:pt idx="1">
                  <c:v>62201000</c:v>
                </c:pt>
                <c:pt idx="2">
                  <c:v>17066000</c:v>
                </c:pt>
              </c:numCache>
            </c:numRef>
          </c:val>
          <c:extLst>
            <c:ext xmlns:c16="http://schemas.microsoft.com/office/drawing/2014/chart" uri="{C3380CC4-5D6E-409C-BE32-E72D297353CC}">
              <c16:uniqueId val="{00000006-ED66-4EFB-83B0-60571F278FBD}"/>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78258967629046"/>
          <c:y val="5.0925925925925923E-2"/>
          <c:w val="0.86566185476815394"/>
          <c:h val="0.72410433070866143"/>
        </c:manualLayout>
      </c:layout>
      <c:lineChart>
        <c:grouping val="standard"/>
        <c:varyColors val="0"/>
        <c:ser>
          <c:idx val="0"/>
          <c:order val="0"/>
          <c:tx>
            <c:strRef>
              <c:f>'Mauve BP3 charts'!$K$7</c:f>
              <c:strCache>
                <c:ptCount val="1"/>
                <c:pt idx="0">
                  <c:v>%</c:v>
                </c:pt>
              </c:strCache>
            </c:strRef>
          </c:tx>
          <c:spPr>
            <a:ln w="28575" cap="rnd">
              <a:solidFill>
                <a:srgbClr val="00426F"/>
              </a:solidFill>
              <a:round/>
            </a:ln>
            <a:effectLst/>
          </c:spPr>
          <c:marker>
            <c:symbol val="none"/>
          </c:marker>
          <c:cat>
            <c:strRef>
              <c:f>'Mauve BP3 charts'!$J$8:$J$12</c:f>
              <c:strCache>
                <c:ptCount val="5"/>
                <c:pt idx="0">
                  <c:v>2018
Actual</c:v>
                </c:pt>
                <c:pt idx="1">
                  <c:v>2019
Actual</c:v>
                </c:pt>
                <c:pt idx="2">
                  <c:v>2020
Forecast</c:v>
                </c:pt>
                <c:pt idx="3">
                  <c:v>2021</c:v>
                </c:pt>
                <c:pt idx="4">
                  <c:v>2022
Target</c:v>
                </c:pt>
              </c:strCache>
            </c:strRef>
          </c:cat>
          <c:val>
            <c:numRef>
              <c:f>'Mauve BP3 charts'!$K$8:$K$12</c:f>
              <c:numCache>
                <c:formatCode>General</c:formatCode>
                <c:ptCount val="5"/>
                <c:pt idx="0">
                  <c:v>80</c:v>
                </c:pt>
                <c:pt idx="1">
                  <c:v>82</c:v>
                </c:pt>
              </c:numCache>
            </c:numRef>
          </c:val>
          <c:smooth val="0"/>
          <c:extLst>
            <c:ext xmlns:c16="http://schemas.microsoft.com/office/drawing/2014/chart" uri="{C3380CC4-5D6E-409C-BE32-E72D297353CC}">
              <c16:uniqueId val="{00000000-903F-452E-BA9E-97A3AE0AC710}"/>
            </c:ext>
          </c:extLst>
        </c:ser>
        <c:ser>
          <c:idx val="1"/>
          <c:order val="1"/>
          <c:tx>
            <c:strRef>
              <c:f>'Mauve BP3 charts'!$L$7</c:f>
              <c:strCache>
                <c:ptCount val="1"/>
                <c:pt idx="0">
                  <c:v>%</c:v>
                </c:pt>
              </c:strCache>
            </c:strRef>
          </c:tx>
          <c:spPr>
            <a:ln w="28575" cap="rnd">
              <a:solidFill>
                <a:srgbClr val="00426F"/>
              </a:solidFill>
              <a:prstDash val="dash"/>
              <a:round/>
            </a:ln>
            <a:effectLst/>
          </c:spPr>
          <c:marker>
            <c:symbol val="none"/>
          </c:marker>
          <c:cat>
            <c:strRef>
              <c:f>'Mauve BP3 charts'!$J$8:$J$12</c:f>
              <c:strCache>
                <c:ptCount val="5"/>
                <c:pt idx="0">
                  <c:v>2018
Actual</c:v>
                </c:pt>
                <c:pt idx="1">
                  <c:v>2019
Actual</c:v>
                </c:pt>
                <c:pt idx="2">
                  <c:v>2020
Forecast</c:v>
                </c:pt>
                <c:pt idx="3">
                  <c:v>2021</c:v>
                </c:pt>
                <c:pt idx="4">
                  <c:v>2022
Target</c:v>
                </c:pt>
              </c:strCache>
            </c:strRef>
          </c:cat>
          <c:val>
            <c:numRef>
              <c:f>'Mauve BP3 charts'!$L$8:$L$12</c:f>
              <c:numCache>
                <c:formatCode>General</c:formatCode>
                <c:ptCount val="5"/>
                <c:pt idx="1">
                  <c:v>82</c:v>
                </c:pt>
                <c:pt idx="2">
                  <c:v>82</c:v>
                </c:pt>
              </c:numCache>
            </c:numRef>
          </c:val>
          <c:smooth val="0"/>
          <c:extLst>
            <c:ext xmlns:c16="http://schemas.microsoft.com/office/drawing/2014/chart" uri="{C3380CC4-5D6E-409C-BE32-E72D297353CC}">
              <c16:uniqueId val="{00000001-903F-452E-BA9E-97A3AE0AC710}"/>
            </c:ext>
          </c:extLst>
        </c:ser>
        <c:ser>
          <c:idx val="2"/>
          <c:order val="2"/>
          <c:tx>
            <c:strRef>
              <c:f>'Mauve BP3 charts'!$M$7</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charts'!$J$8:$J$12</c:f>
              <c:strCache>
                <c:ptCount val="5"/>
                <c:pt idx="0">
                  <c:v>2018
Actual</c:v>
                </c:pt>
                <c:pt idx="1">
                  <c:v>2019
Actual</c:v>
                </c:pt>
                <c:pt idx="2">
                  <c:v>2020
Forecast</c:v>
                </c:pt>
                <c:pt idx="3">
                  <c:v>2021</c:v>
                </c:pt>
                <c:pt idx="4">
                  <c:v>2022
Target</c:v>
                </c:pt>
              </c:strCache>
            </c:strRef>
          </c:cat>
          <c:val>
            <c:numRef>
              <c:f>'Mauve BP3 charts'!$M$8:$M$12</c:f>
              <c:numCache>
                <c:formatCode>General</c:formatCode>
                <c:ptCount val="5"/>
                <c:pt idx="4">
                  <c:v>82</c:v>
                </c:pt>
              </c:numCache>
            </c:numRef>
          </c:val>
          <c:smooth val="0"/>
          <c:extLst>
            <c:ext xmlns:c16="http://schemas.microsoft.com/office/drawing/2014/chart" uri="{C3380CC4-5D6E-409C-BE32-E72D297353CC}">
              <c16:uniqueId val="{00000002-903F-452E-BA9E-97A3AE0AC710}"/>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charts'!$K$31</c:f>
              <c:strCache>
                <c:ptCount val="1"/>
                <c:pt idx="0">
                  <c:v>%</c:v>
                </c:pt>
              </c:strCache>
            </c:strRef>
          </c:tx>
          <c:spPr>
            <a:ln w="28575" cap="rnd">
              <a:solidFill>
                <a:srgbClr val="00426F"/>
              </a:solidFill>
              <a:round/>
            </a:ln>
            <a:effectLst/>
          </c:spPr>
          <c:marker>
            <c:symbol val="none"/>
          </c:marker>
          <c:cat>
            <c:strRef>
              <c:f>'Mauve BP3 charts'!$J$32:$J$38</c:f>
              <c:strCache>
                <c:ptCount val="7"/>
                <c:pt idx="0">
                  <c:v>2016
Actual</c:v>
                </c:pt>
                <c:pt idx="1">
                  <c:v>2017
Actual</c:v>
                </c:pt>
                <c:pt idx="2">
                  <c:v>2018
Actual</c:v>
                </c:pt>
                <c:pt idx="3">
                  <c:v>2019
Actual</c:v>
                </c:pt>
                <c:pt idx="4">
                  <c:v>2020
Forecast</c:v>
                </c:pt>
                <c:pt idx="5">
                  <c:v>2021</c:v>
                </c:pt>
                <c:pt idx="6">
                  <c:v>2022
Target</c:v>
                </c:pt>
              </c:strCache>
            </c:strRef>
          </c:cat>
          <c:val>
            <c:numRef>
              <c:f>'Mauve BP3 charts'!$K$32:$K$38</c:f>
              <c:numCache>
                <c:formatCode>_-* #,##0_-;\-* #,##0_-;_-* "-"??_-;_-@_-</c:formatCode>
                <c:ptCount val="7"/>
                <c:pt idx="0">
                  <c:v>99080</c:v>
                </c:pt>
                <c:pt idx="1">
                  <c:v>74585</c:v>
                </c:pt>
                <c:pt idx="2">
                  <c:v>53498</c:v>
                </c:pt>
                <c:pt idx="3">
                  <c:v>49848</c:v>
                </c:pt>
              </c:numCache>
            </c:numRef>
          </c:val>
          <c:smooth val="0"/>
          <c:extLst>
            <c:ext xmlns:c16="http://schemas.microsoft.com/office/drawing/2014/chart" uri="{C3380CC4-5D6E-409C-BE32-E72D297353CC}">
              <c16:uniqueId val="{00000000-24D2-4D83-9BC3-0CA1A170FCE2}"/>
            </c:ext>
          </c:extLst>
        </c:ser>
        <c:ser>
          <c:idx val="1"/>
          <c:order val="1"/>
          <c:tx>
            <c:strRef>
              <c:f>'Mauve BP3 charts'!$L$31</c:f>
              <c:strCache>
                <c:ptCount val="1"/>
                <c:pt idx="0">
                  <c:v>%</c:v>
                </c:pt>
              </c:strCache>
            </c:strRef>
          </c:tx>
          <c:spPr>
            <a:ln w="28575" cap="rnd">
              <a:solidFill>
                <a:srgbClr val="00426F"/>
              </a:solidFill>
              <a:prstDash val="dash"/>
              <a:round/>
            </a:ln>
            <a:effectLst/>
          </c:spPr>
          <c:marker>
            <c:symbol val="none"/>
          </c:marker>
          <c:cat>
            <c:strRef>
              <c:f>'Mauve BP3 charts'!$J$32:$J$38</c:f>
              <c:strCache>
                <c:ptCount val="7"/>
                <c:pt idx="0">
                  <c:v>2016
Actual</c:v>
                </c:pt>
                <c:pt idx="1">
                  <c:v>2017
Actual</c:v>
                </c:pt>
                <c:pt idx="2">
                  <c:v>2018
Actual</c:v>
                </c:pt>
                <c:pt idx="3">
                  <c:v>2019
Actual</c:v>
                </c:pt>
                <c:pt idx="4">
                  <c:v>2020
Forecast</c:v>
                </c:pt>
                <c:pt idx="5">
                  <c:v>2021</c:v>
                </c:pt>
                <c:pt idx="6">
                  <c:v>2022
Target</c:v>
                </c:pt>
              </c:strCache>
            </c:strRef>
          </c:cat>
          <c:val>
            <c:numRef>
              <c:f>'Mauve BP3 charts'!$L$32:$L$38</c:f>
              <c:numCache>
                <c:formatCode>General</c:formatCode>
                <c:ptCount val="7"/>
                <c:pt idx="3" formatCode="_-* #,##0_-;\-* #,##0_-;_-* &quot;-&quot;??_-;_-@_-">
                  <c:v>49848</c:v>
                </c:pt>
                <c:pt idx="4" formatCode="_-* #,##0_-;\-* #,##0_-;_-* &quot;-&quot;??_-;_-@_-">
                  <c:v>50000</c:v>
                </c:pt>
              </c:numCache>
            </c:numRef>
          </c:val>
          <c:smooth val="0"/>
          <c:extLst>
            <c:ext xmlns:c16="http://schemas.microsoft.com/office/drawing/2014/chart" uri="{C3380CC4-5D6E-409C-BE32-E72D297353CC}">
              <c16:uniqueId val="{00000001-24D2-4D83-9BC3-0CA1A170FCE2}"/>
            </c:ext>
          </c:extLst>
        </c:ser>
        <c:ser>
          <c:idx val="2"/>
          <c:order val="2"/>
          <c:tx>
            <c:strRef>
              <c:f>'Mauve BP3 charts'!$M$31</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charts'!$J$32:$J$38</c:f>
              <c:strCache>
                <c:ptCount val="7"/>
                <c:pt idx="0">
                  <c:v>2016
Actual</c:v>
                </c:pt>
                <c:pt idx="1">
                  <c:v>2017
Actual</c:v>
                </c:pt>
                <c:pt idx="2">
                  <c:v>2018
Actual</c:v>
                </c:pt>
                <c:pt idx="3">
                  <c:v>2019
Actual</c:v>
                </c:pt>
                <c:pt idx="4">
                  <c:v>2020
Forecast</c:v>
                </c:pt>
                <c:pt idx="5">
                  <c:v>2021</c:v>
                </c:pt>
                <c:pt idx="6">
                  <c:v>2022
Target</c:v>
                </c:pt>
              </c:strCache>
            </c:strRef>
          </c:cat>
          <c:val>
            <c:numRef>
              <c:f>'Mauve BP3 charts'!$M$32:$M$38</c:f>
              <c:numCache>
                <c:formatCode>General</c:formatCode>
                <c:ptCount val="7"/>
                <c:pt idx="6" formatCode="_-* #,##0_-;\-* #,##0_-;_-* &quot;-&quot;??_-;_-@_-">
                  <c:v>76991</c:v>
                </c:pt>
              </c:numCache>
            </c:numRef>
          </c:val>
          <c:smooth val="0"/>
          <c:extLst>
            <c:ext xmlns:c16="http://schemas.microsoft.com/office/drawing/2014/chart" uri="{C3380CC4-5D6E-409C-BE32-E72D297353CC}">
              <c16:uniqueId val="{00000002-24D2-4D83-9BC3-0CA1A170FCE2}"/>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Number</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charts'!$K$55</c:f>
              <c:strCache>
                <c:ptCount val="1"/>
                <c:pt idx="0">
                  <c:v>%</c:v>
                </c:pt>
              </c:strCache>
            </c:strRef>
          </c:tx>
          <c:spPr>
            <a:ln w="28575" cap="rnd">
              <a:solidFill>
                <a:srgbClr val="00426F"/>
              </a:solidFill>
              <a:round/>
            </a:ln>
            <a:effectLst/>
          </c:spPr>
          <c:marker>
            <c:symbol val="none"/>
          </c:marker>
          <c:cat>
            <c:strRef>
              <c:f>'Mauve BP3 charts'!$J$56:$J$62</c:f>
              <c:strCache>
                <c:ptCount val="7"/>
                <c:pt idx="0">
                  <c:v>2016
Actual</c:v>
                </c:pt>
                <c:pt idx="1">
                  <c:v>2017
Actual</c:v>
                </c:pt>
                <c:pt idx="2">
                  <c:v>2018
Actual</c:v>
                </c:pt>
                <c:pt idx="3">
                  <c:v>2019
Actual</c:v>
                </c:pt>
                <c:pt idx="4">
                  <c:v>2020
Forecast</c:v>
                </c:pt>
                <c:pt idx="5">
                  <c:v>2021</c:v>
                </c:pt>
                <c:pt idx="6">
                  <c:v>2022
Target</c:v>
                </c:pt>
              </c:strCache>
            </c:strRef>
          </c:cat>
          <c:val>
            <c:numRef>
              <c:f>'Mauve BP3 charts'!$K$56:$K$62</c:f>
              <c:numCache>
                <c:formatCode>_-* #,##0_-;\-* #,##0_-;_-* "-"??_-;_-@_-</c:formatCode>
                <c:ptCount val="7"/>
                <c:pt idx="0">
                  <c:v>32623379</c:v>
                </c:pt>
                <c:pt idx="1">
                  <c:v>27828285</c:v>
                </c:pt>
                <c:pt idx="2">
                  <c:v>27708009</c:v>
                </c:pt>
                <c:pt idx="3">
                  <c:v>19895367</c:v>
                </c:pt>
              </c:numCache>
            </c:numRef>
          </c:val>
          <c:smooth val="0"/>
          <c:extLst>
            <c:ext xmlns:c16="http://schemas.microsoft.com/office/drawing/2014/chart" uri="{C3380CC4-5D6E-409C-BE32-E72D297353CC}">
              <c16:uniqueId val="{00000000-4135-46A6-A30A-FBF9C20A4885}"/>
            </c:ext>
          </c:extLst>
        </c:ser>
        <c:ser>
          <c:idx val="1"/>
          <c:order val="1"/>
          <c:tx>
            <c:strRef>
              <c:f>'Mauve BP3 charts'!$L$55</c:f>
              <c:strCache>
                <c:ptCount val="1"/>
                <c:pt idx="0">
                  <c:v>%</c:v>
                </c:pt>
              </c:strCache>
            </c:strRef>
          </c:tx>
          <c:spPr>
            <a:ln w="28575" cap="rnd">
              <a:solidFill>
                <a:srgbClr val="00426F"/>
              </a:solidFill>
              <a:prstDash val="dash"/>
              <a:round/>
            </a:ln>
            <a:effectLst/>
          </c:spPr>
          <c:marker>
            <c:symbol val="none"/>
          </c:marker>
          <c:cat>
            <c:strRef>
              <c:f>'Mauve BP3 charts'!$J$56:$J$62</c:f>
              <c:strCache>
                <c:ptCount val="7"/>
                <c:pt idx="0">
                  <c:v>2016
Actual</c:v>
                </c:pt>
                <c:pt idx="1">
                  <c:v>2017
Actual</c:v>
                </c:pt>
                <c:pt idx="2">
                  <c:v>2018
Actual</c:v>
                </c:pt>
                <c:pt idx="3">
                  <c:v>2019
Actual</c:v>
                </c:pt>
                <c:pt idx="4">
                  <c:v>2020
Forecast</c:v>
                </c:pt>
                <c:pt idx="5">
                  <c:v>2021</c:v>
                </c:pt>
                <c:pt idx="6">
                  <c:v>2022
Target</c:v>
                </c:pt>
              </c:strCache>
            </c:strRef>
          </c:cat>
          <c:val>
            <c:numRef>
              <c:f>'Mauve BP3 charts'!$L$56:$L$62</c:f>
              <c:numCache>
                <c:formatCode>General</c:formatCode>
                <c:ptCount val="7"/>
                <c:pt idx="3" formatCode="_-* #,##0_-;\-* #,##0_-;_-* &quot;-&quot;??_-;_-@_-">
                  <c:v>19895367</c:v>
                </c:pt>
                <c:pt idx="4" formatCode="_-* #,##0_-;\-* #,##0_-;_-* &quot;-&quot;??_-;_-@_-">
                  <c:v>20000000</c:v>
                </c:pt>
              </c:numCache>
            </c:numRef>
          </c:val>
          <c:smooth val="0"/>
          <c:extLst>
            <c:ext xmlns:c16="http://schemas.microsoft.com/office/drawing/2014/chart" uri="{C3380CC4-5D6E-409C-BE32-E72D297353CC}">
              <c16:uniqueId val="{00000001-4135-46A6-A30A-FBF9C20A4885}"/>
            </c:ext>
          </c:extLst>
        </c:ser>
        <c:ser>
          <c:idx val="2"/>
          <c:order val="2"/>
          <c:tx>
            <c:strRef>
              <c:f>'Mauve BP3 charts'!$M$55</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charts'!$J$56:$J$62</c:f>
              <c:strCache>
                <c:ptCount val="7"/>
                <c:pt idx="0">
                  <c:v>2016
Actual</c:v>
                </c:pt>
                <c:pt idx="1">
                  <c:v>2017
Actual</c:v>
                </c:pt>
                <c:pt idx="2">
                  <c:v>2018
Actual</c:v>
                </c:pt>
                <c:pt idx="3">
                  <c:v>2019
Actual</c:v>
                </c:pt>
                <c:pt idx="4">
                  <c:v>2020
Forecast</c:v>
                </c:pt>
                <c:pt idx="5">
                  <c:v>2021</c:v>
                </c:pt>
                <c:pt idx="6">
                  <c:v>2022
Target</c:v>
                </c:pt>
              </c:strCache>
            </c:strRef>
          </c:cat>
          <c:val>
            <c:numRef>
              <c:f>'Mauve BP3 charts'!$M$56:$M$62</c:f>
              <c:numCache>
                <c:formatCode>General</c:formatCode>
                <c:ptCount val="7"/>
                <c:pt idx="6" formatCode="_-* #,##0_-;\-* #,##0_-;_-* &quot;-&quot;??_-;_-@_-">
                  <c:v>30231527</c:v>
                </c:pt>
              </c:numCache>
            </c:numRef>
          </c:val>
          <c:smooth val="0"/>
          <c:extLst>
            <c:ext xmlns:c16="http://schemas.microsoft.com/office/drawing/2014/chart" uri="{C3380CC4-5D6E-409C-BE32-E72D297353CC}">
              <c16:uniqueId val="{00000002-4135-46A6-A30A-FBF9C20A4885}"/>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Hectares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charts'!$K$83</c:f>
              <c:strCache>
                <c:ptCount val="1"/>
                <c:pt idx="0">
                  <c:v>%</c:v>
                </c:pt>
              </c:strCache>
            </c:strRef>
          </c:tx>
          <c:spPr>
            <a:ln w="28575" cap="rnd">
              <a:solidFill>
                <a:srgbClr val="00426F"/>
              </a:solidFill>
              <a:round/>
            </a:ln>
            <a:effectLst/>
          </c:spPr>
          <c:marker>
            <c:symbol val="none"/>
          </c:marker>
          <c:cat>
            <c:strRef>
              <c:f>'Mauve BP3 charts'!$J$84:$J$88</c:f>
              <c:strCache>
                <c:ptCount val="5"/>
                <c:pt idx="0">
                  <c:v>2016-17
Actual</c:v>
                </c:pt>
                <c:pt idx="1">
                  <c:v>2017-18
Actual</c:v>
                </c:pt>
                <c:pt idx="2">
                  <c:v>2018-19
Actual</c:v>
                </c:pt>
                <c:pt idx="3">
                  <c:v>2019-20
Actual</c:v>
                </c:pt>
                <c:pt idx="4">
                  <c:v>2020-21
Forecast/Target</c:v>
                </c:pt>
              </c:strCache>
            </c:strRef>
          </c:cat>
          <c:val>
            <c:numRef>
              <c:f>'Mauve BP3 charts'!$K$84:$K$88</c:f>
              <c:numCache>
                <c:formatCode>General</c:formatCode>
                <c:ptCount val="5"/>
                <c:pt idx="0">
                  <c:v>15.44</c:v>
                </c:pt>
                <c:pt idx="1">
                  <c:v>17.52</c:v>
                </c:pt>
                <c:pt idx="2">
                  <c:v>15.91</c:v>
                </c:pt>
                <c:pt idx="3">
                  <c:v>15.7</c:v>
                </c:pt>
              </c:numCache>
            </c:numRef>
          </c:val>
          <c:smooth val="0"/>
          <c:extLst>
            <c:ext xmlns:c16="http://schemas.microsoft.com/office/drawing/2014/chart" uri="{C3380CC4-5D6E-409C-BE32-E72D297353CC}">
              <c16:uniqueId val="{00000000-B7F8-43B9-A280-67656ACAB4F8}"/>
            </c:ext>
          </c:extLst>
        </c:ser>
        <c:ser>
          <c:idx val="1"/>
          <c:order val="1"/>
          <c:tx>
            <c:strRef>
              <c:f>'Mauve BP3 charts'!$L$83</c:f>
              <c:strCache>
                <c:ptCount val="1"/>
                <c:pt idx="0">
                  <c:v>%</c:v>
                </c:pt>
              </c:strCache>
            </c:strRef>
          </c:tx>
          <c:spPr>
            <a:ln w="28575" cap="rnd">
              <a:solidFill>
                <a:srgbClr val="00426F"/>
              </a:solidFill>
              <a:prstDash val="dash"/>
              <a:round/>
            </a:ln>
            <a:effectLst/>
          </c:spPr>
          <c:marker>
            <c:symbol val="none"/>
          </c:marker>
          <c:cat>
            <c:strRef>
              <c:f>'Mauve BP3 charts'!$J$84:$J$88</c:f>
              <c:strCache>
                <c:ptCount val="5"/>
                <c:pt idx="0">
                  <c:v>2016-17
Actual</c:v>
                </c:pt>
                <c:pt idx="1">
                  <c:v>2017-18
Actual</c:v>
                </c:pt>
                <c:pt idx="2">
                  <c:v>2018-19
Actual</c:v>
                </c:pt>
                <c:pt idx="3">
                  <c:v>2019-20
Actual</c:v>
                </c:pt>
                <c:pt idx="4">
                  <c:v>2020-21
Forecast/Target</c:v>
                </c:pt>
              </c:strCache>
            </c:strRef>
          </c:cat>
          <c:val>
            <c:numRef>
              <c:f>'Mauve BP3 charts'!$L$84:$L$88</c:f>
              <c:numCache>
                <c:formatCode>General</c:formatCode>
                <c:ptCount val="5"/>
                <c:pt idx="3">
                  <c:v>15.7</c:v>
                </c:pt>
                <c:pt idx="4">
                  <c:v>19.2</c:v>
                </c:pt>
              </c:numCache>
            </c:numRef>
          </c:val>
          <c:smooth val="0"/>
          <c:extLst>
            <c:ext xmlns:c16="http://schemas.microsoft.com/office/drawing/2014/chart" uri="{C3380CC4-5D6E-409C-BE32-E72D297353CC}">
              <c16:uniqueId val="{00000001-B7F8-43B9-A280-67656ACAB4F8}"/>
            </c:ext>
          </c:extLst>
        </c:ser>
        <c:ser>
          <c:idx val="2"/>
          <c:order val="2"/>
          <c:tx>
            <c:strRef>
              <c:f>'Mauve BP3 charts'!$M$83</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charts'!$J$84:$J$88</c:f>
              <c:strCache>
                <c:ptCount val="5"/>
                <c:pt idx="0">
                  <c:v>2016-17
Actual</c:v>
                </c:pt>
                <c:pt idx="1">
                  <c:v>2017-18
Actual</c:v>
                </c:pt>
                <c:pt idx="2">
                  <c:v>2018-19
Actual</c:v>
                </c:pt>
                <c:pt idx="3">
                  <c:v>2019-20
Actual</c:v>
                </c:pt>
                <c:pt idx="4">
                  <c:v>2020-21
Forecast/Target</c:v>
                </c:pt>
              </c:strCache>
            </c:strRef>
          </c:cat>
          <c:val>
            <c:numRef>
              <c:f>'Mauve BP3 charts'!$M$84:$M$88</c:f>
              <c:numCache>
                <c:formatCode>General</c:formatCode>
                <c:ptCount val="5"/>
                <c:pt idx="4">
                  <c:v>17.38</c:v>
                </c:pt>
              </c:numCache>
            </c:numRef>
          </c:val>
          <c:smooth val="0"/>
          <c:extLst>
            <c:ext xmlns:c16="http://schemas.microsoft.com/office/drawing/2014/chart" uri="{C3380CC4-5D6E-409C-BE32-E72D297353CC}">
              <c16:uniqueId val="{00000002-B7F8-43B9-A280-67656ACAB4F8}"/>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62048287010482"/>
          <c:y val="5.4522924411400248E-2"/>
          <c:w val="0.87188945090472958"/>
          <c:h val="0.81366312482315173"/>
        </c:manualLayout>
      </c:layout>
      <c:lineChart>
        <c:grouping val="standard"/>
        <c:varyColors val="0"/>
        <c:ser>
          <c:idx val="0"/>
          <c:order val="0"/>
          <c:tx>
            <c:strRef>
              <c:f>'Mauve BP3 charts'!$K$106</c:f>
              <c:strCache>
                <c:ptCount val="1"/>
                <c:pt idx="0">
                  <c:v>%</c:v>
                </c:pt>
              </c:strCache>
            </c:strRef>
          </c:tx>
          <c:spPr>
            <a:ln w="28575" cap="rnd">
              <a:solidFill>
                <a:srgbClr val="00426F"/>
              </a:solidFill>
              <a:round/>
            </a:ln>
            <a:effectLst/>
          </c:spPr>
          <c:marker>
            <c:symbol val="none"/>
          </c:marker>
          <c:cat>
            <c:strRef>
              <c:f>'Mauve BP3 charts'!$J$107:$J$113</c:f>
              <c:strCache>
                <c:ptCount val="7"/>
                <c:pt idx="0">
                  <c:v>2016-17
Actual</c:v>
                </c:pt>
                <c:pt idx="1">
                  <c:v>2017-18
Actual</c:v>
                </c:pt>
                <c:pt idx="2">
                  <c:v>2018-19
Actual</c:v>
                </c:pt>
                <c:pt idx="3">
                  <c:v>2019-20
Actual</c:v>
                </c:pt>
                <c:pt idx="4">
                  <c:v>2020-21
Forecast</c:v>
                </c:pt>
                <c:pt idx="5">
                  <c:v>2021-22</c:v>
                </c:pt>
                <c:pt idx="6">
                  <c:v>2022-23
Target</c:v>
                </c:pt>
              </c:strCache>
            </c:strRef>
          </c:cat>
          <c:val>
            <c:numRef>
              <c:f>'Mauve BP3 charts'!$K$107:$K$113</c:f>
              <c:numCache>
                <c:formatCode>General</c:formatCode>
                <c:ptCount val="7"/>
                <c:pt idx="0">
                  <c:v>75</c:v>
                </c:pt>
                <c:pt idx="1">
                  <c:v>75</c:v>
                </c:pt>
                <c:pt idx="2">
                  <c:v>75</c:v>
                </c:pt>
                <c:pt idx="3">
                  <c:v>72</c:v>
                </c:pt>
              </c:numCache>
            </c:numRef>
          </c:val>
          <c:smooth val="0"/>
          <c:extLst>
            <c:ext xmlns:c16="http://schemas.microsoft.com/office/drawing/2014/chart" uri="{C3380CC4-5D6E-409C-BE32-E72D297353CC}">
              <c16:uniqueId val="{00000000-5C92-492D-AEE8-5B6DCC993165}"/>
            </c:ext>
          </c:extLst>
        </c:ser>
        <c:ser>
          <c:idx val="1"/>
          <c:order val="1"/>
          <c:tx>
            <c:strRef>
              <c:f>'Mauve BP3 charts'!$L$106</c:f>
              <c:strCache>
                <c:ptCount val="1"/>
                <c:pt idx="0">
                  <c:v>%</c:v>
                </c:pt>
              </c:strCache>
            </c:strRef>
          </c:tx>
          <c:spPr>
            <a:ln w="28575" cap="rnd">
              <a:solidFill>
                <a:srgbClr val="00426F"/>
              </a:solidFill>
              <a:prstDash val="dash"/>
              <a:round/>
            </a:ln>
            <a:effectLst/>
          </c:spPr>
          <c:marker>
            <c:symbol val="none"/>
          </c:marker>
          <c:cat>
            <c:strRef>
              <c:f>'Mauve BP3 charts'!$J$107:$J$113</c:f>
              <c:strCache>
                <c:ptCount val="7"/>
                <c:pt idx="0">
                  <c:v>2016-17
Actual</c:v>
                </c:pt>
                <c:pt idx="1">
                  <c:v>2017-18
Actual</c:v>
                </c:pt>
                <c:pt idx="2">
                  <c:v>2018-19
Actual</c:v>
                </c:pt>
                <c:pt idx="3">
                  <c:v>2019-20
Actual</c:v>
                </c:pt>
                <c:pt idx="4">
                  <c:v>2020-21
Forecast</c:v>
                </c:pt>
                <c:pt idx="5">
                  <c:v>2021-22</c:v>
                </c:pt>
                <c:pt idx="6">
                  <c:v>2022-23
Target</c:v>
                </c:pt>
              </c:strCache>
            </c:strRef>
          </c:cat>
          <c:val>
            <c:numRef>
              <c:f>'Mauve BP3 charts'!$L$107:$L$113</c:f>
              <c:numCache>
                <c:formatCode>General</c:formatCode>
                <c:ptCount val="7"/>
                <c:pt idx="3">
                  <c:v>72</c:v>
                </c:pt>
                <c:pt idx="4">
                  <c:v>76</c:v>
                </c:pt>
              </c:numCache>
            </c:numRef>
          </c:val>
          <c:smooth val="0"/>
          <c:extLst>
            <c:ext xmlns:c16="http://schemas.microsoft.com/office/drawing/2014/chart" uri="{C3380CC4-5D6E-409C-BE32-E72D297353CC}">
              <c16:uniqueId val="{00000001-5C92-492D-AEE8-5B6DCC993165}"/>
            </c:ext>
          </c:extLst>
        </c:ser>
        <c:ser>
          <c:idx val="2"/>
          <c:order val="2"/>
          <c:tx>
            <c:strRef>
              <c:f>'Mauve BP3 charts'!$M$106</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charts'!$J$107:$J$113</c:f>
              <c:strCache>
                <c:ptCount val="7"/>
                <c:pt idx="0">
                  <c:v>2016-17
Actual</c:v>
                </c:pt>
                <c:pt idx="1">
                  <c:v>2017-18
Actual</c:v>
                </c:pt>
                <c:pt idx="2">
                  <c:v>2018-19
Actual</c:v>
                </c:pt>
                <c:pt idx="3">
                  <c:v>2019-20
Actual</c:v>
                </c:pt>
                <c:pt idx="4">
                  <c:v>2020-21
Forecast</c:v>
                </c:pt>
                <c:pt idx="5">
                  <c:v>2021-22</c:v>
                </c:pt>
                <c:pt idx="6">
                  <c:v>2022-23
Target</c:v>
                </c:pt>
              </c:strCache>
            </c:strRef>
          </c:cat>
          <c:val>
            <c:numRef>
              <c:f>'Mauve BP3 charts'!$M$107:$M$113</c:f>
              <c:numCache>
                <c:formatCode>General</c:formatCode>
                <c:ptCount val="7"/>
                <c:pt idx="6">
                  <c:v>80</c:v>
                </c:pt>
              </c:numCache>
            </c:numRef>
          </c:val>
          <c:smooth val="0"/>
          <c:extLst>
            <c:ext xmlns:c16="http://schemas.microsoft.com/office/drawing/2014/chart" uri="{C3380CC4-5D6E-409C-BE32-E72D297353CC}">
              <c16:uniqueId val="{00000002-5C92-492D-AEE8-5B6DCC993165}"/>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charts'!$K$131</c:f>
              <c:strCache>
                <c:ptCount val="1"/>
                <c:pt idx="0">
                  <c:v>%</c:v>
                </c:pt>
              </c:strCache>
            </c:strRef>
          </c:tx>
          <c:spPr>
            <a:ln w="28575" cap="rnd">
              <a:solidFill>
                <a:srgbClr val="00426F"/>
              </a:solidFill>
              <a:round/>
            </a:ln>
            <a:effectLst/>
          </c:spPr>
          <c:marker>
            <c:symbol val="none"/>
          </c:marker>
          <c:cat>
            <c:strRef>
              <c:f>'Mauve BP3 charts'!$J$132:$J$138</c:f>
              <c:strCache>
                <c:ptCount val="7"/>
                <c:pt idx="0">
                  <c:v>2016-17
Actual</c:v>
                </c:pt>
                <c:pt idx="1">
                  <c:v>2017-18
Actual</c:v>
                </c:pt>
                <c:pt idx="2">
                  <c:v>2018-19
Actual</c:v>
                </c:pt>
                <c:pt idx="3">
                  <c:v>2019-20
Actual</c:v>
                </c:pt>
                <c:pt idx="4">
                  <c:v>2020-21
Forecast</c:v>
                </c:pt>
                <c:pt idx="5">
                  <c:v>2021-22</c:v>
                </c:pt>
                <c:pt idx="6">
                  <c:v>2022-23
Target</c:v>
                </c:pt>
              </c:strCache>
            </c:strRef>
          </c:cat>
          <c:val>
            <c:numRef>
              <c:f>'Mauve BP3 charts'!$K$132:$K$138</c:f>
              <c:numCache>
                <c:formatCode>General</c:formatCode>
                <c:ptCount val="7"/>
                <c:pt idx="0">
                  <c:v>1</c:v>
                </c:pt>
                <c:pt idx="1">
                  <c:v>1</c:v>
                </c:pt>
                <c:pt idx="2">
                  <c:v>1</c:v>
                </c:pt>
                <c:pt idx="3">
                  <c:v>1</c:v>
                </c:pt>
              </c:numCache>
            </c:numRef>
          </c:val>
          <c:smooth val="0"/>
          <c:extLst>
            <c:ext xmlns:c16="http://schemas.microsoft.com/office/drawing/2014/chart" uri="{C3380CC4-5D6E-409C-BE32-E72D297353CC}">
              <c16:uniqueId val="{00000000-E36F-4F2B-8008-C6D9DE2CEF46}"/>
            </c:ext>
          </c:extLst>
        </c:ser>
        <c:ser>
          <c:idx val="1"/>
          <c:order val="1"/>
          <c:tx>
            <c:strRef>
              <c:f>'Mauve BP3 charts'!$L$131</c:f>
              <c:strCache>
                <c:ptCount val="1"/>
                <c:pt idx="0">
                  <c:v>%</c:v>
                </c:pt>
              </c:strCache>
            </c:strRef>
          </c:tx>
          <c:spPr>
            <a:ln w="28575" cap="rnd">
              <a:solidFill>
                <a:srgbClr val="00426F"/>
              </a:solidFill>
              <a:prstDash val="dash"/>
              <a:round/>
            </a:ln>
            <a:effectLst/>
          </c:spPr>
          <c:marker>
            <c:symbol val="none"/>
          </c:marker>
          <c:cat>
            <c:strRef>
              <c:f>'Mauve BP3 charts'!$J$132:$J$138</c:f>
              <c:strCache>
                <c:ptCount val="7"/>
                <c:pt idx="0">
                  <c:v>2016-17
Actual</c:v>
                </c:pt>
                <c:pt idx="1">
                  <c:v>2017-18
Actual</c:v>
                </c:pt>
                <c:pt idx="2">
                  <c:v>2018-19
Actual</c:v>
                </c:pt>
                <c:pt idx="3">
                  <c:v>2019-20
Actual</c:v>
                </c:pt>
                <c:pt idx="4">
                  <c:v>2020-21
Forecast</c:v>
                </c:pt>
                <c:pt idx="5">
                  <c:v>2021-22</c:v>
                </c:pt>
                <c:pt idx="6">
                  <c:v>2022-23
Target</c:v>
                </c:pt>
              </c:strCache>
            </c:strRef>
          </c:cat>
          <c:val>
            <c:numRef>
              <c:f>'Mauve BP3 charts'!$L$132:$L$138</c:f>
              <c:numCache>
                <c:formatCode>General</c:formatCode>
                <c:ptCount val="7"/>
                <c:pt idx="3">
                  <c:v>1</c:v>
                </c:pt>
                <c:pt idx="4">
                  <c:v>1</c:v>
                </c:pt>
              </c:numCache>
            </c:numRef>
          </c:val>
          <c:smooth val="0"/>
          <c:extLst>
            <c:ext xmlns:c16="http://schemas.microsoft.com/office/drawing/2014/chart" uri="{C3380CC4-5D6E-409C-BE32-E72D297353CC}">
              <c16:uniqueId val="{00000001-E36F-4F2B-8008-C6D9DE2CEF46}"/>
            </c:ext>
          </c:extLst>
        </c:ser>
        <c:ser>
          <c:idx val="2"/>
          <c:order val="2"/>
          <c:tx>
            <c:strRef>
              <c:f>'Mauve BP3 charts'!$M$131</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charts'!$J$132:$J$138</c:f>
              <c:strCache>
                <c:ptCount val="7"/>
                <c:pt idx="0">
                  <c:v>2016-17
Actual</c:v>
                </c:pt>
                <c:pt idx="1">
                  <c:v>2017-18
Actual</c:v>
                </c:pt>
                <c:pt idx="2">
                  <c:v>2018-19
Actual</c:v>
                </c:pt>
                <c:pt idx="3">
                  <c:v>2019-20
Actual</c:v>
                </c:pt>
                <c:pt idx="4">
                  <c:v>2020-21
Forecast</c:v>
                </c:pt>
                <c:pt idx="5">
                  <c:v>2021-22</c:v>
                </c:pt>
                <c:pt idx="6">
                  <c:v>2022-23
Target</c:v>
                </c:pt>
              </c:strCache>
            </c:strRef>
          </c:cat>
          <c:val>
            <c:numRef>
              <c:f>'Mauve BP3 charts'!$M$132:$M$138</c:f>
              <c:numCache>
                <c:formatCode>General</c:formatCode>
                <c:ptCount val="7"/>
                <c:pt idx="6">
                  <c:v>1</c:v>
                </c:pt>
              </c:numCache>
            </c:numRef>
          </c:val>
          <c:smooth val="0"/>
          <c:extLst>
            <c:ext xmlns:c16="http://schemas.microsoft.com/office/drawing/2014/chart" uri="{C3380CC4-5D6E-409C-BE32-E72D297353CC}">
              <c16:uniqueId val="{00000002-E36F-4F2B-8008-C6D9DE2CEF46}"/>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t"/>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axMin"/>
          <c:max val="5"/>
          <c:min val="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Percentile</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maj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'Mauve BP3 charts'!$K$162</c:f>
              <c:strCache>
                <c:ptCount val="1"/>
                <c:pt idx="0">
                  <c:v>%</c:v>
                </c:pt>
              </c:strCache>
            </c:strRef>
          </c:tx>
          <c:spPr>
            <a:ln w="28575" cap="rnd">
              <a:solidFill>
                <a:srgbClr val="00426F"/>
              </a:solidFill>
              <a:round/>
            </a:ln>
            <a:effectLst/>
          </c:spPr>
          <c:marker>
            <c:symbol val="none"/>
          </c:marker>
          <c:cat>
            <c:strRef>
              <c:f>'Mauve BP3 charts'!$J$163:$J$167</c:f>
              <c:strCache>
                <c:ptCount val="5"/>
                <c:pt idx="0">
                  <c:v>2016-17
Actual</c:v>
                </c:pt>
                <c:pt idx="1">
                  <c:v>2017-18
Actual</c:v>
                </c:pt>
                <c:pt idx="2">
                  <c:v>2018-19
Actual</c:v>
                </c:pt>
                <c:pt idx="3">
                  <c:v>2019-20
Actual</c:v>
                </c:pt>
                <c:pt idx="4">
                  <c:v>2020-21
Forecast/Target</c:v>
                </c:pt>
              </c:strCache>
            </c:strRef>
          </c:cat>
          <c:val>
            <c:numRef>
              <c:f>'Mauve BP3 charts'!$K$163:$K$167</c:f>
              <c:numCache>
                <c:formatCode>General</c:formatCode>
                <c:ptCount val="5"/>
                <c:pt idx="0">
                  <c:v>90.7</c:v>
                </c:pt>
                <c:pt idx="1">
                  <c:v>93.6</c:v>
                </c:pt>
                <c:pt idx="2">
                  <c:v>67.3</c:v>
                </c:pt>
                <c:pt idx="3">
                  <c:v>94.3</c:v>
                </c:pt>
              </c:numCache>
            </c:numRef>
          </c:val>
          <c:smooth val="0"/>
          <c:extLst>
            <c:ext xmlns:c16="http://schemas.microsoft.com/office/drawing/2014/chart" uri="{C3380CC4-5D6E-409C-BE32-E72D297353CC}">
              <c16:uniqueId val="{00000000-AC9A-4E02-9036-831BB2BBBA3C}"/>
            </c:ext>
          </c:extLst>
        </c:ser>
        <c:ser>
          <c:idx val="1"/>
          <c:order val="1"/>
          <c:tx>
            <c:strRef>
              <c:f>'Mauve BP3 charts'!$L$162</c:f>
              <c:strCache>
                <c:ptCount val="1"/>
                <c:pt idx="0">
                  <c:v>%</c:v>
                </c:pt>
              </c:strCache>
            </c:strRef>
          </c:tx>
          <c:spPr>
            <a:ln w="28575" cap="rnd">
              <a:solidFill>
                <a:srgbClr val="00426F"/>
              </a:solidFill>
              <a:prstDash val="dash"/>
              <a:round/>
            </a:ln>
            <a:effectLst/>
          </c:spPr>
          <c:marker>
            <c:symbol val="none"/>
          </c:marker>
          <c:cat>
            <c:strRef>
              <c:f>'Mauve BP3 charts'!$J$163:$J$167</c:f>
              <c:strCache>
                <c:ptCount val="5"/>
                <c:pt idx="0">
                  <c:v>2016-17
Actual</c:v>
                </c:pt>
                <c:pt idx="1">
                  <c:v>2017-18
Actual</c:v>
                </c:pt>
                <c:pt idx="2">
                  <c:v>2018-19
Actual</c:v>
                </c:pt>
                <c:pt idx="3">
                  <c:v>2019-20
Actual</c:v>
                </c:pt>
                <c:pt idx="4">
                  <c:v>2020-21
Forecast/Target</c:v>
                </c:pt>
              </c:strCache>
            </c:strRef>
          </c:cat>
          <c:val>
            <c:numRef>
              <c:f>'Mauve BP3 charts'!$L$163:$L$167</c:f>
              <c:numCache>
                <c:formatCode>General</c:formatCode>
                <c:ptCount val="5"/>
                <c:pt idx="3">
                  <c:v>94.3</c:v>
                </c:pt>
                <c:pt idx="4">
                  <c:v>90</c:v>
                </c:pt>
              </c:numCache>
            </c:numRef>
          </c:val>
          <c:smooth val="0"/>
          <c:extLst>
            <c:ext xmlns:c16="http://schemas.microsoft.com/office/drawing/2014/chart" uri="{C3380CC4-5D6E-409C-BE32-E72D297353CC}">
              <c16:uniqueId val="{00000001-AC9A-4E02-9036-831BB2BBBA3C}"/>
            </c:ext>
          </c:extLst>
        </c:ser>
        <c:ser>
          <c:idx val="2"/>
          <c:order val="2"/>
          <c:tx>
            <c:strRef>
              <c:f>'Mauve BP3 charts'!$M$162</c:f>
              <c:strCache>
                <c:ptCount val="1"/>
                <c:pt idx="0">
                  <c:v>%</c:v>
                </c:pt>
              </c:strCache>
            </c:strRef>
          </c:tx>
          <c:spPr>
            <a:ln w="28575" cap="rnd">
              <a:noFill/>
              <a:round/>
            </a:ln>
            <a:effectLst/>
          </c:spPr>
          <c:marker>
            <c:symbol val="diamond"/>
            <c:size val="9"/>
            <c:spPr>
              <a:solidFill>
                <a:srgbClr val="00426F"/>
              </a:solidFill>
              <a:ln w="9525">
                <a:noFill/>
              </a:ln>
              <a:effectLst/>
            </c:spPr>
          </c:marker>
          <c:cat>
            <c:strRef>
              <c:f>'Mauve BP3 charts'!$J$163:$J$167</c:f>
              <c:strCache>
                <c:ptCount val="5"/>
                <c:pt idx="0">
                  <c:v>2016-17
Actual</c:v>
                </c:pt>
                <c:pt idx="1">
                  <c:v>2017-18
Actual</c:v>
                </c:pt>
                <c:pt idx="2">
                  <c:v>2018-19
Actual</c:v>
                </c:pt>
                <c:pt idx="3">
                  <c:v>2019-20
Actual</c:v>
                </c:pt>
                <c:pt idx="4">
                  <c:v>2020-21
Forecast/Target</c:v>
                </c:pt>
              </c:strCache>
            </c:strRef>
          </c:cat>
          <c:val>
            <c:numRef>
              <c:f>'Mauve BP3 charts'!$M$163:$M$167</c:f>
              <c:numCache>
                <c:formatCode>General</c:formatCode>
                <c:ptCount val="5"/>
                <c:pt idx="4">
                  <c:v>85</c:v>
                </c:pt>
              </c:numCache>
            </c:numRef>
          </c:val>
          <c:smooth val="0"/>
          <c:extLst>
            <c:ext xmlns:c16="http://schemas.microsoft.com/office/drawing/2014/chart" uri="{C3380CC4-5D6E-409C-BE32-E72D297353CC}">
              <c16:uniqueId val="{00000002-AC9A-4E02-9036-831BB2BBBA3C}"/>
            </c:ext>
          </c:extLst>
        </c:ser>
        <c:dLbls>
          <c:showLegendKey val="0"/>
          <c:showVal val="0"/>
          <c:showCatName val="0"/>
          <c:showSerName val="0"/>
          <c:showPercent val="0"/>
          <c:showBubbleSize val="0"/>
        </c:dLbls>
        <c:smooth val="0"/>
        <c:axId val="552085088"/>
        <c:axId val="441956432"/>
      </c:lineChart>
      <c:catAx>
        <c:axId val="5520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41956432"/>
        <c:crosses val="autoZero"/>
        <c:auto val="1"/>
        <c:lblAlgn val="ctr"/>
        <c:lblOffset val="100"/>
        <c:noMultiLvlLbl val="0"/>
      </c:catAx>
      <c:valAx>
        <c:axId val="441956432"/>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08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A8F43476EB784464BFCC994945052FE7" version="1.0.0">
  <systemFields>
    <field name="Objective-Id">
      <value order="0">A4329810</value>
    </field>
    <field name="Objective-Title">
      <value order="0">01 PRINTER FINAL  - Customer Service BP3 chapter</value>
    </field>
    <field name="Objective-Description">
      <value order="0"/>
    </field>
    <field name="Objective-CreationStamp">
      <value order="0">2019-06-07T23:05:00Z</value>
    </field>
    <field name="Objective-IsApproved">
      <value order="0">false</value>
    </field>
    <field name="Objective-IsPublished">
      <value order="0">false</value>
    </field>
    <field name="Objective-DatePublished">
      <value order="0"/>
    </field>
    <field name="Objective-ModificationStamp">
      <value order="0">2019-06-11T07:04:10Z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vA7634501</value>
    </field>
    <field name="Objective-Version">
      <value order="0">9.1</value>
    </field>
    <field name="Objective-VersionNumber">
      <value order="0">11</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Conan Yuen</DisplayName>
        <AccountId>25</AccountId>
        <AccountType/>
      </UserInfo>
      <UserInfo>
        <DisplayName>Ziggi Lejins</DisplayName>
        <AccountId>26</AccountId>
        <AccountType/>
      </UserInfo>
      <UserInfo>
        <DisplayName>Emma Finnerty</DisplayName>
        <AccountId>27</AccountId>
        <AccountType/>
      </UserInfo>
      <UserInfo>
        <DisplayName>Richard Hodge</DisplayName>
        <AccountId>28</AccountId>
        <AccountType/>
      </UserInfo>
      <UserInfo>
        <DisplayName>Alex Manisier</DisplayName>
        <AccountId>60</AccountId>
        <AccountType/>
      </UserInfo>
      <UserInfo>
        <DisplayName>Janette Semerdjian</DisplayName>
        <AccountId>10</AccountId>
        <AccountType/>
      </UserInfo>
    </SharedWithUsers>
    <_Flow_SignoffStatus xmlns="1c478e85-8130-4c67-8ee4-8bdf1c0e604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F2563-312E-4BF0-B2C0-A9140D5DF8FA}">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AC71145D-42D4-4D14-A122-BFA62BBE6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47FF6-77EC-4111-AE40-0F1A8E5E4AE3}">
  <ds:schemaRefs>
    <ds:schemaRef ds:uri="http://schemas.microsoft.com/office/2006/metadata/properties"/>
    <ds:schemaRef ds:uri="http://schemas.microsoft.com/office/infopath/2007/PartnerControls"/>
    <ds:schemaRef ds:uri="801a5968-9419-4033-b9de-7ffe8168468e"/>
    <ds:schemaRef ds:uri="1c478e85-8130-4c67-8ee4-8bdf1c0e6049"/>
  </ds:schemaRefs>
</ds:datastoreItem>
</file>

<file path=customXml/itemProps5.xml><?xml version="1.0" encoding="utf-8"?>
<ds:datastoreItem xmlns:ds="http://schemas.openxmlformats.org/officeDocument/2006/customXml" ds:itemID="{623813F0-5B33-4783-B7A2-221EEA087445}">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17.xml><?xml version="1.0" encoding="utf-8"?>
<clbl:labelList xmlns:clbl="http://schemas.microsoft.com/office/2020/mipLabelMetadata"/>
</file>

<file path=docMetadata/LabelInfo18.xml><?xml version="1.0" encoding="utf-8"?>
<clbl:labelList xmlns:clbl="http://schemas.microsoft.com/office/2020/mipLabelMetadata"/>
</file>

<file path=docMetadata/LabelInfo19.xml><?xml version="1.0" encoding="utf-8"?>
<clbl:labelList xmlns:clbl="http://schemas.microsoft.com/office/2020/mipLabelMetadata"/>
</file>

<file path=docMetadata/LabelInfo2.xml><?xml version="1.0" encoding="utf-8"?>
<clbl:labelList xmlns:clbl="http://schemas.microsoft.com/office/2020/mipLabelMetadata"/>
</file>

<file path=docMetadata/LabelInfo20.xml><?xml version="1.0" encoding="utf-8"?>
<clbl:labelList xmlns:clbl="http://schemas.microsoft.com/office/2020/mipLabelMetadata"/>
</file>

<file path=docMetadata/LabelInfo21.xml><?xml version="1.0" encoding="utf-8"?>
<clbl:labelList xmlns:clbl="http://schemas.microsoft.com/office/2020/mipLabelMetadata"/>
</file>

<file path=docMetadata/LabelInfo22.xml><?xml version="1.0" encoding="utf-8"?>
<clbl:labelList xmlns:clbl="http://schemas.microsoft.com/office/2020/mipLabelMetadata"/>
</file>

<file path=docMetadata/LabelInfo23.xml><?xml version="1.0" encoding="utf-8"?>
<clbl:labelList xmlns:clbl="http://schemas.microsoft.com/office/2020/mipLabelMetadata"/>
</file>

<file path=docMetadata/LabelInfo24.xml><?xml version="1.0" encoding="utf-8"?>
<clbl:labelList xmlns:clbl="http://schemas.microsoft.com/office/2020/mipLabelMetadata"/>
</file>

<file path=docMetadata/LabelInfo25.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588</TotalTime>
  <Pages>17</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2019-20 Budget - Budget Paper No. 3 - Budget Estimates -01 Customer Service cluster</vt:lpstr>
    </vt:vector>
  </TitlesOfParts>
  <Company>Department of Finance Services and Innovation</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Paper No. 2 - Outcomes Statement - 06 Regional NSW</dc:title>
  <dc:subject/>
  <dc:creator>The Treasury</dc:creator>
  <cp:keywords>The Treasury</cp:keywords>
  <dc:description/>
  <cp:lastModifiedBy>Francess Lavorato</cp:lastModifiedBy>
  <cp:revision>524</cp:revision>
  <cp:lastPrinted>2019-06-19T06:59:00Z</cp:lastPrinted>
  <dcterms:created xsi:type="dcterms:W3CDTF">2020-11-07T13:21:00Z</dcterms:created>
  <dcterms:modified xsi:type="dcterms:W3CDTF">2020-11-13T02:54:00Z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Objective-Id">
    <vt:lpwstr>A4329810</vt:lpwstr>
  </property>
  <property fmtid="{D5CDD505-2E9C-101B-9397-08002B2CF9AE}" pid="4" name="Objective-Title">
    <vt:lpwstr>01 PRINTER FINAL  - Customer Service BP3 chapter</vt:lpwstr>
  </property>
  <property fmtid="{D5CDD505-2E9C-101B-9397-08002B2CF9AE}" pid="5" name="Objective-Description">
    <vt:lpwstr/>
  </property>
  <property fmtid="{D5CDD505-2E9C-101B-9397-08002B2CF9AE}" pid="6" name="Objective-CreationStamp">
    <vt:filetime>2019-06-10T05:28:58Z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2019-06-11T07:05:36Z</vt:filetime>
  </property>
  <property fmtid="{D5CDD505-2E9C-101B-9397-08002B2CF9AE}" pid="10" name="Objective-ModificationStamp">
    <vt:filetime>2019-06-11T07:05:36Z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Id">
    <vt:lpwstr>vA7634501</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T19/01520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