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7.xml" ContentType="application/vnd.ms-office.classificationlabels+xml"/>
  <Override PartName="/docMetadata/LabelInfo3.xml" ContentType="application/vnd.ms-office.classificationlabels+xml"/>
  <Override PartName="/docMetadata/LabelInfo19.xml" ContentType="application/vnd.ms-office.classificationlabels+xml"/>
  <Override PartName="/docMetadata/LabelInfo14.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11.xml" ContentType="application/vnd.ms-office.classificationlabels+xml"/>
  <Override PartName="/docMetadata/LabelInfo18.xml" ContentType="application/vnd.ms-office.classificationlabels+xml"/>
  <Override PartName="/docMetadata/LabelInfo10.xml" ContentType="application/vnd.ms-office.classificationlabels+xml"/>
  <Override PartName="/docMetadata/LabelInfo13.xml" ContentType="application/vnd.ms-office.classificationlabels+xml"/>
  <Override PartName="/docMetadata/LabelInfo22.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17.xml" ContentType="application/vnd.ms-office.classificationlabels+xml"/>
  <Override PartName="/docMetadata/LabelInfo9.xml" ContentType="application/vnd.ms-office.classificationlabels+xml"/>
  <Override PartName="/docMetadata/LabelInfo15.xml" ContentType="application/vnd.ms-office.classificationlabels+xml"/>
  <Override PartName="/docMetadata/LabelInfo21.xml" ContentType="application/vnd.ms-office.classificationlabels+xml"/>
  <Override PartName="/docMetadata/LabelInfo20.xml" ContentType="application/vnd.ms-office.classificationlabels+xml"/>
  <Override PartName="/docMetadata/LabelInfo4.xml" ContentType="application/vnd.ms-office.classificationlabels+xml"/>
  <Override PartName="/docMetadata/LabelInfo23.xml" ContentType="application/vnd.ms-office.classificationlabels+xml"/>
  <Override PartName="/docMetadata/LabelInfo.xml" ContentType="application/vnd.ms-office.classificationlabels+xml"/>
  <Override PartName="/docMetadata/LabelInfo24.xml" ContentType="application/vnd.ms-office.classificationlabels+xml"/>
  <Override PartName="/docMetadata/LabelInfo16.xml" ContentType="application/vnd.ms-office.classificationlabels+xml"/>
  <Override PartName="/docMetadata/LabelInfo12.xml" ContentType="application/vnd.ms-office.classificationlabels+xml"/>
  <Override PartName="/docMetadata/LabelInfo8.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7.xml"/><Relationship Id="rId18" Type="http://schemas.microsoft.com/office/2020/02/relationships/classificationlabels" Target="docMetadata/LabelInfo3.xml"/><Relationship Id="rId26" Type="http://schemas.microsoft.com/office/2020/02/relationships/classificationlabels" Target="docMetadata/LabelInfo19.xml"/><Relationship Id="rId3" Type="http://schemas.openxmlformats.org/package/2006/relationships/metadata/core-properties" Target="docProps/core.xml"/><Relationship Id="rId21" Type="http://schemas.microsoft.com/office/2020/02/relationships/classificationlabels" Target="docMetadata/LabelInfo14.xml"/><Relationship Id="rId7" Type="http://schemas.microsoft.com/office/2020/02/relationships/classificationlabels" Target="docMetadata/LabelInfo1.xml"/><Relationship Id="rId12" Type="http://schemas.microsoft.com/office/2020/02/relationships/classificationlabels" Target="docMetadata/LabelInfo6.xml"/><Relationship Id="rId17" Type="http://schemas.microsoft.com/office/2020/02/relationships/classificationlabels" Target="docMetadata/LabelInfo11.xml"/><Relationship Id="rId25" Type="http://schemas.microsoft.com/office/2020/02/relationships/classificationlabels" Target="docMetadata/LabelInfo18.xml"/><Relationship Id="rId2" Type="http://schemas.openxmlformats.org/package/2006/relationships/metadata/thumbnail" Target="docProps/thumbnail.emf"/><Relationship Id="rId16" Type="http://schemas.microsoft.com/office/2020/02/relationships/classificationlabels" Target="docMetadata/LabelInfo10.xml"/><Relationship Id="rId20" Type="http://schemas.microsoft.com/office/2020/02/relationships/classificationlabels" Target="docMetadata/LabelInfo13.xml"/><Relationship Id="rId29" Type="http://schemas.microsoft.com/office/2020/02/relationships/classificationlabels" Target="docMetadata/LabelInfo22.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24" Type="http://schemas.microsoft.com/office/2020/02/relationships/classificationlabels" Target="docMetadata/LabelInfo17.xml"/><Relationship Id="rId5" Type="http://schemas.openxmlformats.org/officeDocument/2006/relationships/custom-properties" Target="docProps/custom.xml"/><Relationship Id="rId15" Type="http://schemas.microsoft.com/office/2020/02/relationships/classificationlabels" Target="docMetadata/LabelInfo9.xml"/><Relationship Id="rId23" Type="http://schemas.microsoft.com/office/2020/02/relationships/classificationlabels" Target="docMetadata/LabelInfo15.xml"/><Relationship Id="rId28" Type="http://schemas.microsoft.com/office/2020/02/relationships/classificationlabels" Target="docMetadata/LabelInfo21.xml"/><Relationship Id="rId19" Type="http://schemas.microsoft.com/office/2020/02/relationships/classificationlabels" Target="docMetadata/LabelInfo20.xml"/><Relationship Id="rId10" Type="http://schemas.microsoft.com/office/2020/02/relationships/classificationlabels" Target="docMetadata/LabelInfo4.xml"/><Relationship Id="rId31" Type="http://schemas.microsoft.com/office/2020/02/relationships/classificationlabels" Target="docMetadata/LabelInfo23.xml"/><Relationship Id="rId4" Type="http://schemas.openxmlformats.org/officeDocument/2006/relationships/extended-properties" Target="docProps/app.xml"/><Relationship Id="rId27" Type="http://schemas.microsoft.com/office/2020/02/relationships/classificationlabels" Target="docMetadata/LabelInfo.xml"/><Relationship Id="rId30" Type="http://schemas.microsoft.com/office/2020/02/relationships/classificationlabels" Target="docMetadata/LabelInfo24.xml"/><Relationship Id="rId22" Type="http://schemas.microsoft.com/office/2020/02/relationships/classificationlabels" Target="docMetadata/LabelInfo16.xml"/><Relationship Id="rId14" Type="http://schemas.microsoft.com/office/2020/02/relationships/classificationlabels" Target="docMetadata/LabelInfo12.xml"/><Relationship Id="rId9" Type="http://schemas.microsoft.com/office/2020/02/relationships/classificationlabels" Target="docMetadata/LabelInfo8.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42C27" w14:textId="7A32258D" w:rsidR="00693D94" w:rsidRPr="00686B6E" w:rsidRDefault="00693D94" w:rsidP="0067764C">
      <w:pPr>
        <w:pStyle w:val="Heading1"/>
      </w:pPr>
      <w:bookmarkStart w:id="0" w:name="_Toc516321111"/>
      <w:bookmarkStart w:id="1" w:name="_Hlk514665625"/>
      <w:bookmarkStart w:id="2" w:name="_Hlk514665378"/>
      <w:r w:rsidRPr="00686B6E">
        <w:t xml:space="preserve">1. </w:t>
      </w:r>
      <w:r w:rsidRPr="00686B6E">
        <w:tab/>
        <w:t xml:space="preserve">Customer Service </w:t>
      </w:r>
      <w:bookmarkEnd w:id="0"/>
      <w:r w:rsidR="00F87B5C" w:rsidRPr="00686B6E">
        <w:t>Cluster</w:t>
      </w:r>
    </w:p>
    <w:p w14:paraId="18EEC78F" w14:textId="77777777" w:rsidR="00693D94" w:rsidRPr="00F8244B" w:rsidRDefault="00693D94" w:rsidP="0067764C">
      <w:pPr>
        <w:pStyle w:val="Heading2"/>
      </w:pPr>
      <w:bookmarkStart w:id="3" w:name="_Toc511759817"/>
      <w:bookmarkStart w:id="4" w:name="_Toc516321112"/>
      <w:r w:rsidRPr="00F8244B">
        <w:t>Introduction</w:t>
      </w:r>
      <w:bookmarkEnd w:id="3"/>
      <w:bookmarkEnd w:id="4"/>
    </w:p>
    <w:tbl>
      <w:tblPr>
        <w:tblpPr w:leftFromText="180" w:rightFromText="180" w:vertAnchor="text" w:horzAnchor="margin" w:tblpXSpec="right" w:tblpY="43"/>
        <w:tblW w:w="1716" w:type="pct"/>
        <w:shd w:val="clear" w:color="auto" w:fill="F2F2F2" w:themeFill="background1" w:themeFillShade="F2"/>
        <w:tblCellMar>
          <w:left w:w="115" w:type="dxa"/>
          <w:right w:w="115" w:type="dxa"/>
        </w:tblCellMar>
        <w:tblLook w:val="04A0" w:firstRow="1" w:lastRow="0" w:firstColumn="1" w:lastColumn="0" w:noHBand="0" w:noVBand="1"/>
        <w:tblCaption w:val="Customer Service Cluster"/>
      </w:tblPr>
      <w:tblGrid>
        <w:gridCol w:w="1144"/>
        <w:gridCol w:w="967"/>
        <w:gridCol w:w="1197"/>
      </w:tblGrid>
      <w:tr w:rsidR="00693D94" w:rsidRPr="00F8244B" w14:paraId="48B20D28" w14:textId="77777777" w:rsidTr="51D91659">
        <w:trPr>
          <w:cantSplit/>
          <w:trHeight w:val="784"/>
        </w:trPr>
        <w:tc>
          <w:tcPr>
            <w:tcW w:w="1729" w:type="pct"/>
            <w:shd w:val="clear" w:color="auto" w:fill="F2F2F2" w:themeFill="background1" w:themeFillShade="F2"/>
            <w:vAlign w:val="center"/>
          </w:tcPr>
          <w:p w14:paraId="1B6A884D" w14:textId="77777777" w:rsidR="00693D94" w:rsidRPr="00F8244B" w:rsidRDefault="00693D94" w:rsidP="00FD4913">
            <w:pPr>
              <w:spacing w:before="120" w:after="120"/>
              <w:rPr>
                <w:rFonts w:ascii="Arial" w:hAnsi="Arial" w:cs="Arial"/>
                <w:sz w:val="23"/>
                <w:szCs w:val="23"/>
              </w:rPr>
            </w:pPr>
            <w:r w:rsidRPr="00F8244B">
              <w:rPr>
                <w:rFonts w:ascii="Arial" w:hAnsi="Arial" w:cs="Arial"/>
                <w:noProof/>
                <w:lang w:eastAsia="en-AU"/>
              </w:rPr>
              <w:drawing>
                <wp:inline distT="0" distB="0" distL="0" distR="0" wp14:anchorId="750F4E2E" wp14:editId="67373837">
                  <wp:extent cx="518160" cy="518160"/>
                  <wp:effectExtent l="0" t="0" r="0" b="0"/>
                  <wp:docPr id="2" name="Picture 2"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60FBB329" w14:textId="0D180D56" w:rsidR="00693D94" w:rsidRPr="00BB1C84" w:rsidRDefault="00693D94" w:rsidP="00FD4913">
            <w:pPr>
              <w:spacing w:before="120" w:after="120"/>
              <w:jc w:val="center"/>
              <w:rPr>
                <w:rFonts w:ascii="Arial" w:hAnsi="Arial" w:cs="Arial"/>
                <w:color w:val="00ABE6"/>
                <w:sz w:val="18"/>
                <w:szCs w:val="18"/>
              </w:rPr>
            </w:pPr>
            <w:r w:rsidRPr="00BB1C84">
              <w:rPr>
                <w:rFonts w:ascii="Arial" w:hAnsi="Arial" w:cs="Arial"/>
                <w:color w:val="00ABE6"/>
                <w:sz w:val="18"/>
                <w:szCs w:val="18"/>
              </w:rPr>
              <w:t>$</w:t>
            </w:r>
            <w:r w:rsidR="004904B3">
              <w:rPr>
                <w:rFonts w:ascii="Arial" w:hAnsi="Arial" w:cs="Arial"/>
                <w:color w:val="00ABE6"/>
                <w:sz w:val="18"/>
                <w:szCs w:val="18"/>
              </w:rPr>
              <w:t>3.4</w:t>
            </w:r>
            <w:r w:rsidRPr="00BB1C84">
              <w:rPr>
                <w:rFonts w:ascii="Arial" w:hAnsi="Arial" w:cs="Arial"/>
                <w:color w:val="00ABE6"/>
                <w:sz w:val="18"/>
                <w:szCs w:val="18"/>
              </w:rPr>
              <w:t xml:space="preserve"> billion</w:t>
            </w:r>
          </w:p>
        </w:tc>
        <w:tc>
          <w:tcPr>
            <w:tcW w:w="1809" w:type="pct"/>
            <w:shd w:val="clear" w:color="auto" w:fill="F2F2F2" w:themeFill="background1" w:themeFillShade="F2"/>
            <w:vAlign w:val="center"/>
          </w:tcPr>
          <w:p w14:paraId="331506C9" w14:textId="3CE5AFF2" w:rsidR="00693D94" w:rsidRPr="00F8244B" w:rsidRDefault="00693D94" w:rsidP="00FD4913">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sidR="00210743">
              <w:rPr>
                <w:rFonts w:ascii="Arial" w:hAnsi="Arial" w:cs="Arial"/>
                <w:color w:val="00ABE6"/>
                <w:sz w:val="18"/>
                <w:szCs w:val="18"/>
              </w:rPr>
              <w:t>20</w:t>
            </w:r>
            <w:r w:rsidRPr="00F8244B">
              <w:rPr>
                <w:rFonts w:ascii="Arial" w:hAnsi="Arial" w:cs="Arial"/>
                <w:color w:val="00ABE6"/>
                <w:sz w:val="18"/>
                <w:szCs w:val="18"/>
              </w:rPr>
              <w:t>-2</w:t>
            </w:r>
            <w:r w:rsidR="00210743">
              <w:rPr>
                <w:rFonts w:ascii="Arial" w:hAnsi="Arial" w:cs="Arial"/>
                <w:color w:val="00ABE6"/>
                <w:sz w:val="18"/>
                <w:szCs w:val="18"/>
              </w:rPr>
              <w:t>1</w:t>
            </w:r>
          </w:p>
        </w:tc>
      </w:tr>
      <w:tr w:rsidR="00693D94" w:rsidRPr="00F8244B" w14:paraId="2F6DBC8F" w14:textId="77777777" w:rsidTr="51D91659">
        <w:trPr>
          <w:cantSplit/>
          <w:trHeight w:val="784"/>
        </w:trPr>
        <w:tc>
          <w:tcPr>
            <w:tcW w:w="1729" w:type="pct"/>
            <w:shd w:val="clear" w:color="auto" w:fill="F2F2F2" w:themeFill="background1" w:themeFillShade="F2"/>
            <w:vAlign w:val="center"/>
          </w:tcPr>
          <w:p w14:paraId="71AFA3F3" w14:textId="77777777" w:rsidR="00693D94" w:rsidRPr="00F8244B" w:rsidRDefault="00693D94" w:rsidP="00FD4913">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4C747969" wp14:editId="2B628C69">
                  <wp:extent cx="525145" cy="525145"/>
                  <wp:effectExtent l="0" t="0" r="8255" b="8255"/>
                  <wp:docPr id="4" name="Picture 4"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7A319B1C" w14:textId="21432039" w:rsidR="00693D94" w:rsidRPr="00BB1C84" w:rsidRDefault="00693D94" w:rsidP="00FD4913">
            <w:pPr>
              <w:spacing w:before="120" w:after="120"/>
              <w:jc w:val="center"/>
              <w:rPr>
                <w:rFonts w:ascii="Arial" w:hAnsi="Arial" w:cs="Arial"/>
                <w:color w:val="00ABE6"/>
                <w:sz w:val="18"/>
                <w:szCs w:val="18"/>
              </w:rPr>
            </w:pPr>
            <w:r w:rsidRPr="00BB1C84">
              <w:rPr>
                <w:rFonts w:ascii="Arial" w:hAnsi="Arial" w:cs="Arial"/>
                <w:color w:val="00ABE6"/>
                <w:sz w:val="18"/>
                <w:szCs w:val="18"/>
              </w:rPr>
              <w:t>$</w:t>
            </w:r>
            <w:r w:rsidR="00BB4420" w:rsidRPr="00BB1C84">
              <w:rPr>
                <w:rFonts w:ascii="Arial" w:hAnsi="Arial" w:cs="Arial"/>
                <w:color w:val="00ABE6"/>
                <w:sz w:val="18"/>
                <w:szCs w:val="18"/>
              </w:rPr>
              <w:t>4</w:t>
            </w:r>
            <w:r w:rsidR="00157C12" w:rsidRPr="00BB1C84">
              <w:rPr>
                <w:rFonts w:ascii="Arial" w:hAnsi="Arial" w:cs="Arial"/>
                <w:color w:val="00ABE6"/>
                <w:sz w:val="18"/>
                <w:szCs w:val="18"/>
              </w:rPr>
              <w:t>85</w:t>
            </w:r>
            <w:r w:rsidR="00641C51" w:rsidRPr="00BB1C84">
              <w:rPr>
                <w:rFonts w:ascii="Arial" w:hAnsi="Arial" w:cs="Arial"/>
                <w:color w:val="00ABE6"/>
                <w:sz w:val="18"/>
                <w:szCs w:val="18"/>
              </w:rPr>
              <w:t>.2</w:t>
            </w:r>
            <w:r w:rsidRPr="00BB1C84">
              <w:rPr>
                <w:rFonts w:ascii="Arial" w:hAnsi="Arial" w:cs="Arial"/>
                <w:color w:val="00ABE6"/>
                <w:sz w:val="18"/>
                <w:szCs w:val="18"/>
              </w:rPr>
              <w:t xml:space="preserve"> million</w:t>
            </w:r>
          </w:p>
        </w:tc>
        <w:tc>
          <w:tcPr>
            <w:tcW w:w="1809" w:type="pct"/>
            <w:shd w:val="clear" w:color="auto" w:fill="F2F2F2" w:themeFill="background1" w:themeFillShade="F2"/>
            <w:vAlign w:val="center"/>
          </w:tcPr>
          <w:p w14:paraId="5C18687F" w14:textId="5F759367" w:rsidR="00693D94" w:rsidRPr="00F8244B" w:rsidRDefault="00693D94" w:rsidP="00FD4913">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sidR="00210743">
              <w:rPr>
                <w:rFonts w:ascii="Arial" w:hAnsi="Arial" w:cs="Arial"/>
                <w:color w:val="00ABE6"/>
                <w:sz w:val="18"/>
                <w:szCs w:val="18"/>
              </w:rPr>
              <w:t>20</w:t>
            </w:r>
            <w:r w:rsidRPr="00F8244B">
              <w:rPr>
                <w:rFonts w:ascii="Arial" w:hAnsi="Arial" w:cs="Arial"/>
                <w:color w:val="00ABE6"/>
                <w:sz w:val="18"/>
                <w:szCs w:val="18"/>
              </w:rPr>
              <w:t>-2</w:t>
            </w:r>
            <w:r w:rsidR="00210743">
              <w:rPr>
                <w:rFonts w:ascii="Arial" w:hAnsi="Arial" w:cs="Arial"/>
                <w:color w:val="00ABE6"/>
                <w:sz w:val="18"/>
                <w:szCs w:val="18"/>
              </w:rPr>
              <w:t>1</w:t>
            </w:r>
          </w:p>
        </w:tc>
      </w:tr>
    </w:tbl>
    <w:p w14:paraId="1129290D" w14:textId="5B7202AD" w:rsidR="00693D94" w:rsidRDefault="00515C84" w:rsidP="00F01446">
      <w:pPr>
        <w:pStyle w:val="BodyText"/>
      </w:pPr>
      <w:bookmarkStart w:id="5" w:name="_Hlk7443651"/>
      <w:bookmarkStart w:id="6" w:name="_Hlk7525417"/>
      <w:r>
        <w:t xml:space="preserve">The </w:t>
      </w:r>
      <w:r w:rsidR="2AB3BCD8">
        <w:t>Government</w:t>
      </w:r>
      <w:r w:rsidR="002A200D">
        <w:t>,</w:t>
      </w:r>
      <w:r w:rsidR="2AB3BCD8">
        <w:t xml:space="preserve"> through the </w:t>
      </w:r>
      <w:r>
        <w:t xml:space="preserve">Customer Service </w:t>
      </w:r>
      <w:r w:rsidR="00092843">
        <w:t>C</w:t>
      </w:r>
      <w:r>
        <w:t>luster</w:t>
      </w:r>
      <w:r w:rsidR="002A200D">
        <w:t>,</w:t>
      </w:r>
      <w:r>
        <w:t xml:space="preserve"> </w:t>
      </w:r>
      <w:r w:rsidR="00A009F5">
        <w:t>build</w:t>
      </w:r>
      <w:r w:rsidR="009A1ADF">
        <w:t>s</w:t>
      </w:r>
      <w:r w:rsidR="00A009F5">
        <w:t xml:space="preserve"> upon</w:t>
      </w:r>
      <w:r w:rsidR="00631525">
        <w:t xml:space="preserve"> </w:t>
      </w:r>
      <w:r w:rsidR="00E517C8">
        <w:t xml:space="preserve">work </w:t>
      </w:r>
      <w:r w:rsidR="00631525">
        <w:t>already</w:t>
      </w:r>
      <w:r w:rsidR="00A009F5">
        <w:t xml:space="preserve"> undertaken to </w:t>
      </w:r>
      <w:r w:rsidR="004421AA">
        <w:t xml:space="preserve">deliver and exceed </w:t>
      </w:r>
      <w:r w:rsidR="00BE3FDF">
        <w:t xml:space="preserve">customer </w:t>
      </w:r>
      <w:r w:rsidR="004421AA">
        <w:t xml:space="preserve">expectations </w:t>
      </w:r>
      <w:r w:rsidR="00BE3FDF">
        <w:t>of NSW Government services</w:t>
      </w:r>
      <w:r w:rsidR="004421AA">
        <w:t>.</w:t>
      </w:r>
      <w:r w:rsidR="00371759">
        <w:t xml:space="preserve"> </w:t>
      </w:r>
      <w:r w:rsidR="2107469C">
        <w:t xml:space="preserve">By implementing the Government’s priorities </w:t>
      </w:r>
      <w:r w:rsidR="01DD0D6E">
        <w:t>t</w:t>
      </w:r>
      <w:r w:rsidR="00637D87">
        <w:t xml:space="preserve">he </w:t>
      </w:r>
      <w:r w:rsidR="002B6259">
        <w:t>C</w:t>
      </w:r>
      <w:r w:rsidR="00F45616">
        <w:t>luster</w:t>
      </w:r>
      <w:r w:rsidR="00637D87">
        <w:t xml:space="preserve"> strives to be the world’s most customer-centric government with the fundamental purpose of providing trustworthy, effective and easy to use services to customers and communities, no matter who or where they are, or what they need</w:t>
      </w:r>
      <w:r w:rsidR="000745F1">
        <w:t xml:space="preserve">. </w:t>
      </w:r>
      <w:r w:rsidR="00E41905">
        <w:t xml:space="preserve">The </w:t>
      </w:r>
      <w:r w:rsidR="00092843">
        <w:t>C</w:t>
      </w:r>
      <w:r w:rsidR="00E41905">
        <w:t xml:space="preserve">luster </w:t>
      </w:r>
      <w:r w:rsidR="00524786">
        <w:t>work</w:t>
      </w:r>
      <w:r w:rsidR="009A1ADF">
        <w:t>s</w:t>
      </w:r>
      <w:r w:rsidR="00524786">
        <w:t xml:space="preserve"> to ensure customer insights are embedded in policy design</w:t>
      </w:r>
      <w:r w:rsidR="00E10EAB">
        <w:t xml:space="preserve"> and service.</w:t>
      </w:r>
      <w:r w:rsidR="00D4298D">
        <w:t xml:space="preserve"> </w:t>
      </w:r>
      <w:r w:rsidR="00850937">
        <w:t xml:space="preserve">The </w:t>
      </w:r>
      <w:r w:rsidR="009A1ADF">
        <w:t xml:space="preserve">accelerated </w:t>
      </w:r>
      <w:r w:rsidR="00446202">
        <w:t xml:space="preserve">use of </w:t>
      </w:r>
      <w:r w:rsidR="000D6825">
        <w:t>digital</w:t>
      </w:r>
      <w:r w:rsidR="00C11628">
        <w:t xml:space="preserve"> data</w:t>
      </w:r>
      <w:r w:rsidR="000D6825">
        <w:t xml:space="preserve"> and behavioural insights </w:t>
      </w:r>
      <w:r w:rsidR="002E5694">
        <w:t>ensure</w:t>
      </w:r>
      <w:r w:rsidR="009A1ADF">
        <w:t>s</w:t>
      </w:r>
      <w:r w:rsidR="002E5694">
        <w:t xml:space="preserve"> that service delivery meets customer expectations.</w:t>
      </w:r>
    </w:p>
    <w:p w14:paraId="71665909" w14:textId="1A2E0766" w:rsidR="00354217" w:rsidRDefault="00420408" w:rsidP="00CC3905">
      <w:pPr>
        <w:pStyle w:val="Heading3"/>
        <w:spacing w:before="120" w:after="100"/>
        <w:rPr>
          <w:rFonts w:ascii="Arial" w:hAnsi="Arial" w:cs="Arial"/>
        </w:rPr>
      </w:pPr>
      <w:bookmarkStart w:id="7" w:name="_Toc516321114"/>
      <w:bookmarkEnd w:id="5"/>
      <w:bookmarkEnd w:id="6"/>
      <w:r>
        <w:rPr>
          <w:rFonts w:ascii="Arial" w:hAnsi="Arial" w:cs="Arial"/>
        </w:rPr>
        <w:t>S</w:t>
      </w:r>
      <w:r w:rsidR="00693D94" w:rsidRPr="00F8244B">
        <w:rPr>
          <w:rFonts w:ascii="Arial" w:hAnsi="Arial" w:cs="Arial"/>
        </w:rPr>
        <w:t xml:space="preserve">tate Outcomes </w:t>
      </w:r>
      <w:r w:rsidR="008E1411" w:rsidRPr="00F8244B">
        <w:rPr>
          <w:rFonts w:ascii="Arial" w:hAnsi="Arial" w:cs="Arial"/>
        </w:rPr>
        <w:t xml:space="preserve">to be </w:t>
      </w:r>
      <w:r w:rsidR="00693D94" w:rsidRPr="00F8244B">
        <w:rPr>
          <w:rFonts w:ascii="Arial" w:hAnsi="Arial" w:cs="Arial"/>
        </w:rPr>
        <w:t xml:space="preserve">delivered by the Customer Service </w:t>
      </w:r>
      <w:r w:rsidR="00445B60">
        <w:rPr>
          <w:rFonts w:ascii="Arial" w:hAnsi="Arial" w:cs="Arial"/>
        </w:rPr>
        <w:t>C</w:t>
      </w:r>
      <w:r w:rsidR="00693D94" w:rsidRPr="00F8244B">
        <w:rPr>
          <w:rFonts w:ascii="Arial" w:hAnsi="Arial" w:cs="Arial"/>
        </w:rPr>
        <w:t>luster</w:t>
      </w:r>
      <w:bookmarkEnd w:id="1"/>
      <w:bookmarkEnd w:id="7"/>
    </w:p>
    <w:tbl>
      <w:tblPr>
        <w:tblW w:w="9876" w:type="dxa"/>
        <w:tblLook w:val="04A0" w:firstRow="1" w:lastRow="0" w:firstColumn="1" w:lastColumn="0" w:noHBand="0" w:noVBand="1"/>
        <w:tblCaption w:val="State Outcomes to be delivered by the Customer Service Cluster"/>
      </w:tblPr>
      <w:tblGrid>
        <w:gridCol w:w="5105"/>
        <w:gridCol w:w="236"/>
        <w:gridCol w:w="4535"/>
      </w:tblGrid>
      <w:tr w:rsidR="00272982" w:rsidRPr="00D92897" w14:paraId="3D791592" w14:textId="77777777" w:rsidTr="00272CEC">
        <w:trPr>
          <w:trHeight w:val="450"/>
          <w:tblHeader/>
        </w:trPr>
        <w:tc>
          <w:tcPr>
            <w:tcW w:w="5105" w:type="dxa"/>
            <w:vMerge w:val="restart"/>
            <w:tcBorders>
              <w:top w:val="nil"/>
              <w:left w:val="nil"/>
              <w:bottom w:val="nil"/>
              <w:right w:val="nil"/>
            </w:tcBorders>
            <w:shd w:val="clear" w:color="000000" w:fill="002664"/>
            <w:vAlign w:val="center"/>
            <w:hideMark/>
          </w:tcPr>
          <w:p w14:paraId="44E70839" w14:textId="70341C9F" w:rsidR="00CD3DD3" w:rsidRPr="00D92897" w:rsidRDefault="00AD51C0" w:rsidP="00CD3DD3">
            <w:pPr>
              <w:jc w:val="center"/>
              <w:rPr>
                <w:rFonts w:ascii="Arial" w:hAnsi="Arial" w:cs="Arial"/>
                <w:b/>
                <w:bCs/>
                <w:color w:val="FFFFFF"/>
                <w:lang w:eastAsia="en-AU"/>
              </w:rPr>
            </w:pPr>
            <w:r w:rsidRPr="00317F99">
              <w:rPr>
                <w:rFonts w:ascii="Arial" w:hAnsi="Arial" w:cs="Arial"/>
                <w:sz w:val="16"/>
                <w:szCs w:val="16"/>
              </w:rPr>
              <w:t xml:space="preserve"> </w:t>
            </w:r>
            <w:r w:rsidR="00CD3DD3" w:rsidRPr="00D92897">
              <w:rPr>
                <w:rFonts w:ascii="Arial" w:hAnsi="Arial" w:cs="Arial"/>
                <w:b/>
                <w:bCs/>
                <w:color w:val="FFFFFF"/>
                <w:lang w:eastAsia="en-AU"/>
              </w:rPr>
              <w:t>State Outcomes</w:t>
            </w:r>
            <w:r w:rsidR="00CD3DD3" w:rsidRPr="00D92897">
              <w:rPr>
                <w:rFonts w:ascii="Arial" w:hAnsi="Arial" w:cs="Arial"/>
                <w:b/>
                <w:bCs/>
                <w:color w:val="FFFFFF"/>
                <w:lang w:eastAsia="en-AU"/>
              </w:rPr>
              <w:br/>
            </w:r>
            <w:r w:rsidR="00CD3DD3" w:rsidRPr="00D92897">
              <w:rPr>
                <w:rFonts w:ascii="Arial" w:hAnsi="Arial" w:cs="Arial"/>
                <w:color w:val="FFFFFF"/>
                <w:lang w:eastAsia="en-AU"/>
              </w:rPr>
              <w:t xml:space="preserve">What the </w:t>
            </w:r>
            <w:r w:rsidR="009B68BC">
              <w:rPr>
                <w:rFonts w:ascii="Arial" w:hAnsi="Arial" w:cs="Arial"/>
                <w:color w:val="FFFFFF"/>
                <w:lang w:eastAsia="en-AU"/>
              </w:rPr>
              <w:t>C</w:t>
            </w:r>
            <w:r w:rsidR="00CD3DD3" w:rsidRPr="00D92897">
              <w:rPr>
                <w:rFonts w:ascii="Arial" w:hAnsi="Arial" w:cs="Arial"/>
                <w:color w:val="FFFFFF"/>
                <w:lang w:eastAsia="en-AU"/>
              </w:rPr>
              <w:t>luster is delivering for people and business</w:t>
            </w:r>
          </w:p>
        </w:tc>
        <w:tc>
          <w:tcPr>
            <w:tcW w:w="236" w:type="dxa"/>
            <w:vMerge w:val="restart"/>
            <w:tcBorders>
              <w:top w:val="nil"/>
              <w:left w:val="nil"/>
              <w:bottom w:val="nil"/>
              <w:right w:val="nil"/>
            </w:tcBorders>
            <w:shd w:val="clear" w:color="000000" w:fill="FFFFFF"/>
            <w:vAlign w:val="center"/>
            <w:hideMark/>
          </w:tcPr>
          <w:p w14:paraId="6E334ABF" w14:textId="77777777" w:rsidR="00CD3DD3" w:rsidRPr="002E3E3C" w:rsidRDefault="00CD3DD3" w:rsidP="002E3E3C">
            <w:pPr>
              <w:ind w:left="-1389" w:right="-510"/>
              <w:jc w:val="center"/>
              <w:rPr>
                <w:rFonts w:ascii="Arial" w:hAnsi="Arial" w:cs="Arial"/>
                <w:color w:val="FFFFFF"/>
                <w:sz w:val="2"/>
                <w:szCs w:val="2"/>
                <w:lang w:eastAsia="en-AU"/>
              </w:rPr>
            </w:pPr>
            <w:r w:rsidRPr="002E3E3C">
              <w:rPr>
                <w:rFonts w:ascii="Arial" w:hAnsi="Arial" w:cs="Arial"/>
                <w:color w:val="FFFFFF"/>
                <w:sz w:val="2"/>
                <w:szCs w:val="2"/>
                <w:lang w:eastAsia="en-AU"/>
              </w:rPr>
              <w:t> </w:t>
            </w:r>
          </w:p>
        </w:tc>
        <w:tc>
          <w:tcPr>
            <w:tcW w:w="4535" w:type="dxa"/>
            <w:vMerge w:val="restart"/>
            <w:tcBorders>
              <w:top w:val="nil"/>
              <w:left w:val="nil"/>
              <w:bottom w:val="nil"/>
              <w:right w:val="nil"/>
            </w:tcBorders>
            <w:shd w:val="clear" w:color="000000" w:fill="002664"/>
            <w:vAlign w:val="center"/>
            <w:hideMark/>
          </w:tcPr>
          <w:p w14:paraId="40C76BA3" w14:textId="480277A8" w:rsidR="00CD3DD3" w:rsidRPr="00D92897" w:rsidRDefault="00CD3DD3" w:rsidP="00CD3DD3">
            <w:pPr>
              <w:jc w:val="center"/>
              <w:rPr>
                <w:rFonts w:ascii="Arial" w:hAnsi="Arial" w:cs="Arial"/>
                <w:b/>
                <w:bCs/>
                <w:color w:val="FFFFFF"/>
                <w:lang w:eastAsia="en-AU"/>
              </w:rPr>
            </w:pPr>
            <w:r w:rsidRPr="00D92897">
              <w:rPr>
                <w:rFonts w:ascii="Arial" w:hAnsi="Arial" w:cs="Arial"/>
                <w:b/>
                <w:bCs/>
                <w:color w:val="FFFFFF"/>
                <w:lang w:eastAsia="en-AU"/>
              </w:rPr>
              <w:t>Example Programs</w:t>
            </w:r>
            <w:r w:rsidR="00584EAB" w:rsidRPr="00584EAB">
              <w:rPr>
                <w:rFonts w:ascii="Arial" w:hAnsi="Arial" w:cs="Arial"/>
                <w:b/>
                <w:bCs/>
                <w:color w:val="FFFFFF"/>
                <w:vertAlign w:val="superscript"/>
                <w:lang w:eastAsia="en-AU"/>
              </w:rPr>
              <w:t>(a)</w:t>
            </w:r>
            <w:r w:rsidRPr="00D92897">
              <w:rPr>
                <w:rFonts w:ascii="Arial" w:hAnsi="Arial" w:cs="Arial"/>
                <w:b/>
                <w:bCs/>
                <w:color w:val="FFFFFF"/>
                <w:lang w:eastAsia="en-AU"/>
              </w:rPr>
              <w:br/>
            </w:r>
            <w:r w:rsidRPr="00D92897">
              <w:rPr>
                <w:rFonts w:ascii="Arial" w:hAnsi="Arial" w:cs="Arial"/>
                <w:color w:val="FFFFFF"/>
                <w:lang w:eastAsia="en-AU"/>
              </w:rPr>
              <w:t xml:space="preserve">underway to support delivery of </w:t>
            </w:r>
            <w:r w:rsidR="00386FD7">
              <w:rPr>
                <w:rFonts w:ascii="Arial" w:hAnsi="Arial" w:cs="Arial"/>
                <w:color w:val="FFFFFF"/>
                <w:lang w:eastAsia="en-AU"/>
              </w:rPr>
              <w:t>O</w:t>
            </w:r>
            <w:r w:rsidRPr="00D92897">
              <w:rPr>
                <w:rFonts w:ascii="Arial" w:hAnsi="Arial" w:cs="Arial"/>
                <w:color w:val="FFFFFF"/>
                <w:lang w:eastAsia="en-AU"/>
              </w:rPr>
              <w:t>utcomes</w:t>
            </w:r>
          </w:p>
        </w:tc>
      </w:tr>
      <w:tr w:rsidR="002E3E3C" w:rsidRPr="00D92897" w14:paraId="7512ECF2" w14:textId="77777777" w:rsidTr="002E3E3C">
        <w:trPr>
          <w:trHeight w:val="450"/>
        </w:trPr>
        <w:tc>
          <w:tcPr>
            <w:tcW w:w="5105" w:type="dxa"/>
            <w:vMerge/>
            <w:tcBorders>
              <w:top w:val="nil"/>
              <w:left w:val="nil"/>
              <w:bottom w:val="nil"/>
              <w:right w:val="nil"/>
            </w:tcBorders>
            <w:vAlign w:val="center"/>
            <w:hideMark/>
          </w:tcPr>
          <w:p w14:paraId="693D5535" w14:textId="77777777" w:rsidR="00CD3DD3" w:rsidRPr="00D92897" w:rsidRDefault="00CD3DD3" w:rsidP="00CD3DD3">
            <w:pPr>
              <w:rPr>
                <w:rFonts w:ascii="Arial" w:hAnsi="Arial" w:cs="Arial"/>
                <w:b/>
                <w:bCs/>
                <w:color w:val="FFFFFF"/>
                <w:lang w:eastAsia="en-AU"/>
              </w:rPr>
            </w:pPr>
          </w:p>
        </w:tc>
        <w:tc>
          <w:tcPr>
            <w:tcW w:w="236" w:type="dxa"/>
            <w:vMerge/>
            <w:tcBorders>
              <w:top w:val="nil"/>
              <w:left w:val="nil"/>
              <w:bottom w:val="nil"/>
              <w:right w:val="nil"/>
            </w:tcBorders>
            <w:vAlign w:val="center"/>
            <w:hideMark/>
          </w:tcPr>
          <w:p w14:paraId="70FAC3EB" w14:textId="77777777" w:rsidR="00CD3DD3" w:rsidRPr="002E3E3C" w:rsidRDefault="00CD3DD3" w:rsidP="002E3E3C">
            <w:pPr>
              <w:ind w:left="-1389" w:right="-510"/>
              <w:rPr>
                <w:rFonts w:ascii="Arial" w:hAnsi="Arial" w:cs="Arial"/>
                <w:color w:val="FFFFFF"/>
                <w:sz w:val="2"/>
                <w:szCs w:val="2"/>
                <w:lang w:eastAsia="en-AU"/>
              </w:rPr>
            </w:pPr>
          </w:p>
        </w:tc>
        <w:tc>
          <w:tcPr>
            <w:tcW w:w="4535" w:type="dxa"/>
            <w:vMerge/>
            <w:tcBorders>
              <w:top w:val="nil"/>
              <w:left w:val="nil"/>
              <w:bottom w:val="nil"/>
              <w:right w:val="nil"/>
            </w:tcBorders>
            <w:vAlign w:val="center"/>
            <w:hideMark/>
          </w:tcPr>
          <w:p w14:paraId="5F3AFD43" w14:textId="77777777" w:rsidR="00CD3DD3" w:rsidRPr="00D92897" w:rsidRDefault="00CD3DD3" w:rsidP="00CD3DD3">
            <w:pPr>
              <w:rPr>
                <w:rFonts w:ascii="Arial" w:hAnsi="Arial" w:cs="Arial"/>
                <w:b/>
                <w:bCs/>
                <w:color w:val="FFFFFF"/>
                <w:lang w:eastAsia="en-AU"/>
              </w:rPr>
            </w:pPr>
          </w:p>
        </w:tc>
      </w:tr>
      <w:tr w:rsidR="00272982" w:rsidRPr="00D92897" w14:paraId="28EFBB5C" w14:textId="77777777" w:rsidTr="002E3E3C">
        <w:trPr>
          <w:trHeight w:val="62"/>
        </w:trPr>
        <w:tc>
          <w:tcPr>
            <w:tcW w:w="5105" w:type="dxa"/>
            <w:tcBorders>
              <w:top w:val="nil"/>
              <w:left w:val="nil"/>
              <w:bottom w:val="nil"/>
              <w:right w:val="nil"/>
            </w:tcBorders>
            <w:shd w:val="clear" w:color="000000" w:fill="FFFFFF"/>
            <w:vAlign w:val="center"/>
            <w:hideMark/>
          </w:tcPr>
          <w:p w14:paraId="7218F88C" w14:textId="77777777" w:rsidR="00CD3DD3" w:rsidRPr="00420408" w:rsidRDefault="00CD3DD3" w:rsidP="00CD3DD3">
            <w:pPr>
              <w:jc w:val="center"/>
              <w:rPr>
                <w:rFonts w:ascii="Arial" w:hAnsi="Arial" w:cs="Arial"/>
                <w:color w:val="000000"/>
                <w:sz w:val="2"/>
                <w:szCs w:val="2"/>
                <w:lang w:eastAsia="en-AU"/>
              </w:rPr>
            </w:pPr>
            <w:r w:rsidRPr="00420408">
              <w:rPr>
                <w:rFonts w:ascii="Arial" w:hAnsi="Arial" w:cs="Arial"/>
                <w:color w:val="000000"/>
                <w:sz w:val="2"/>
                <w:szCs w:val="2"/>
                <w:lang w:eastAsia="en-AU"/>
              </w:rPr>
              <w:t> </w:t>
            </w:r>
          </w:p>
        </w:tc>
        <w:tc>
          <w:tcPr>
            <w:tcW w:w="236" w:type="dxa"/>
            <w:tcBorders>
              <w:top w:val="nil"/>
              <w:left w:val="nil"/>
              <w:bottom w:val="nil"/>
              <w:right w:val="nil"/>
            </w:tcBorders>
            <w:shd w:val="clear" w:color="000000" w:fill="FFFFFF"/>
            <w:vAlign w:val="center"/>
            <w:hideMark/>
          </w:tcPr>
          <w:p w14:paraId="4303FDC8" w14:textId="77777777" w:rsidR="00CD3DD3" w:rsidRPr="002E3E3C" w:rsidRDefault="00CD3DD3" w:rsidP="002E3E3C">
            <w:pPr>
              <w:ind w:left="-1389" w:right="-510"/>
              <w:jc w:val="center"/>
              <w:rPr>
                <w:rFonts w:ascii="Arial" w:hAnsi="Arial" w:cs="Arial"/>
                <w:sz w:val="2"/>
                <w:szCs w:val="2"/>
                <w:lang w:eastAsia="en-AU"/>
              </w:rPr>
            </w:pPr>
            <w:r w:rsidRPr="002E3E3C">
              <w:rPr>
                <w:rFonts w:ascii="Arial" w:hAnsi="Arial" w:cs="Arial"/>
                <w:sz w:val="2"/>
                <w:szCs w:val="2"/>
                <w:lang w:eastAsia="en-AU"/>
              </w:rPr>
              <w:t> </w:t>
            </w:r>
          </w:p>
        </w:tc>
        <w:tc>
          <w:tcPr>
            <w:tcW w:w="4535" w:type="dxa"/>
            <w:tcBorders>
              <w:top w:val="nil"/>
              <w:left w:val="nil"/>
              <w:bottom w:val="nil"/>
              <w:right w:val="nil"/>
            </w:tcBorders>
            <w:shd w:val="clear" w:color="000000" w:fill="FFFFFF"/>
            <w:vAlign w:val="center"/>
            <w:hideMark/>
          </w:tcPr>
          <w:p w14:paraId="0B2BC34B" w14:textId="77777777" w:rsidR="00CD3DD3" w:rsidRPr="00420408" w:rsidRDefault="00CD3DD3" w:rsidP="00CD3DD3">
            <w:pPr>
              <w:jc w:val="center"/>
              <w:rPr>
                <w:rFonts w:ascii="Arial" w:hAnsi="Arial" w:cs="Arial"/>
                <w:color w:val="FF0000"/>
                <w:sz w:val="2"/>
                <w:szCs w:val="2"/>
                <w:lang w:eastAsia="en-AU"/>
              </w:rPr>
            </w:pPr>
            <w:r w:rsidRPr="00420408">
              <w:rPr>
                <w:rFonts w:ascii="Arial" w:hAnsi="Arial" w:cs="Arial"/>
                <w:color w:val="FF0000"/>
                <w:sz w:val="2"/>
                <w:szCs w:val="2"/>
                <w:lang w:eastAsia="en-AU"/>
              </w:rPr>
              <w:t> </w:t>
            </w:r>
          </w:p>
        </w:tc>
      </w:tr>
      <w:tr w:rsidR="00272982" w:rsidRPr="00D92897" w14:paraId="50A61224" w14:textId="77777777" w:rsidTr="008D0D80">
        <w:trPr>
          <w:trHeight w:val="2608"/>
        </w:trPr>
        <w:tc>
          <w:tcPr>
            <w:tcW w:w="5105" w:type="dxa"/>
            <w:tcBorders>
              <w:top w:val="nil"/>
              <w:left w:val="nil"/>
              <w:bottom w:val="nil"/>
              <w:right w:val="nil"/>
            </w:tcBorders>
            <w:shd w:val="clear" w:color="000000" w:fill="BAE4FC"/>
            <w:vAlign w:val="center"/>
            <w:hideMark/>
          </w:tcPr>
          <w:p w14:paraId="0FF38B39" w14:textId="77777777" w:rsidR="00CD3DD3" w:rsidRPr="007878F4" w:rsidRDefault="00CD3DD3" w:rsidP="00F518AB">
            <w:pPr>
              <w:pStyle w:val="ListParagraph"/>
              <w:numPr>
                <w:ilvl w:val="0"/>
                <w:numId w:val="7"/>
              </w:numPr>
              <w:spacing w:before="8" w:after="80" w:line="240" w:lineRule="auto"/>
              <w:ind w:left="357" w:hanging="357"/>
              <w:contextualSpacing w:val="0"/>
              <w:rPr>
                <w:rFonts w:cs="Arial"/>
                <w:b/>
                <w:szCs w:val="20"/>
              </w:rPr>
            </w:pPr>
            <w:r w:rsidRPr="00C96286">
              <w:rPr>
                <w:rFonts w:cs="Arial"/>
                <w:b/>
                <w:szCs w:val="20"/>
              </w:rPr>
              <w:t>Excellence in Customer Service</w:t>
            </w:r>
          </w:p>
          <w:p w14:paraId="0BFFBDC5" w14:textId="0833D841" w:rsidR="00CD3DD3" w:rsidRDefault="00CD3DD3" w:rsidP="00F518AB">
            <w:pPr>
              <w:rPr>
                <w:rFonts w:ascii="Arial" w:hAnsi="Arial" w:cs="Arial"/>
                <w:sz w:val="20"/>
                <w:szCs w:val="20"/>
              </w:rPr>
            </w:pPr>
            <w:r w:rsidRPr="007878F4">
              <w:rPr>
                <w:rFonts w:ascii="Arial" w:hAnsi="Arial" w:cs="Arial"/>
                <w:sz w:val="20"/>
                <w:szCs w:val="20"/>
              </w:rPr>
              <w:t>This Outcome focuses the Cluster’s efforts towards a customer-centred approach in everything it does, resulting in better customer experiences and easier transactions. This Outcome measures the availability of digital transactions, customer satisfaction with government services, and the number of services where customers only need to “Tell us Once</w:t>
            </w:r>
            <w:r w:rsidR="00A348FD">
              <w:rPr>
                <w:rFonts w:ascii="Arial" w:hAnsi="Arial" w:cs="Arial"/>
                <w:sz w:val="20"/>
                <w:szCs w:val="20"/>
              </w:rPr>
              <w:t>”</w:t>
            </w:r>
            <w:r w:rsidRPr="007878F4">
              <w:rPr>
                <w:rFonts w:ascii="Arial" w:hAnsi="Arial" w:cs="Arial"/>
                <w:sz w:val="20"/>
                <w:szCs w:val="20"/>
              </w:rPr>
              <w:t>.</w:t>
            </w:r>
          </w:p>
          <w:p w14:paraId="412E8EE0" w14:textId="77777777" w:rsidR="003A20F8" w:rsidRPr="0090565F" w:rsidRDefault="003A20F8" w:rsidP="00F518AB">
            <w:pPr>
              <w:rPr>
                <w:rFonts w:ascii="Arial" w:hAnsi="Arial" w:cs="Arial"/>
                <w:i/>
                <w:iCs/>
                <w:sz w:val="12"/>
                <w:szCs w:val="12"/>
              </w:rPr>
            </w:pPr>
          </w:p>
          <w:p w14:paraId="0D30B22C" w14:textId="72DE92EB" w:rsidR="009468CD" w:rsidRPr="003A20F8" w:rsidRDefault="003A20F8" w:rsidP="00F518AB">
            <w:pPr>
              <w:rPr>
                <w:rFonts w:ascii="Arial" w:hAnsi="Arial" w:cs="Arial"/>
                <w:b/>
                <w:sz w:val="20"/>
                <w:szCs w:val="20"/>
                <w:lang w:eastAsia="en-AU"/>
              </w:rPr>
            </w:pPr>
            <w:r w:rsidRPr="003A20F8">
              <w:rPr>
                <w:rFonts w:ascii="Arial" w:hAnsi="Arial" w:cs="Arial"/>
                <w:i/>
                <w:iCs/>
                <w:sz w:val="20"/>
                <w:szCs w:val="20"/>
              </w:rPr>
              <w:t>2020-21 investment: $</w:t>
            </w:r>
            <w:r w:rsidR="00F5595F">
              <w:rPr>
                <w:rFonts w:ascii="Arial" w:hAnsi="Arial" w:cs="Arial"/>
                <w:i/>
                <w:iCs/>
                <w:sz w:val="20"/>
                <w:szCs w:val="20"/>
              </w:rPr>
              <w:t>1.2 billion</w:t>
            </w:r>
            <w:r w:rsidRPr="003A20F8">
              <w:rPr>
                <w:rFonts w:ascii="Arial" w:hAnsi="Arial" w:cs="Arial"/>
                <w:i/>
                <w:iCs/>
                <w:sz w:val="20"/>
                <w:szCs w:val="20"/>
              </w:rPr>
              <w:t xml:space="preserve"> recurrent expenses &amp; $</w:t>
            </w:r>
            <w:r w:rsidR="002525D5">
              <w:rPr>
                <w:rFonts w:ascii="Arial" w:hAnsi="Arial" w:cs="Arial"/>
                <w:i/>
                <w:iCs/>
                <w:sz w:val="20"/>
                <w:szCs w:val="20"/>
              </w:rPr>
              <w:t>175.0 million</w:t>
            </w:r>
            <w:r w:rsidRPr="003A20F8">
              <w:rPr>
                <w:rFonts w:ascii="Arial" w:hAnsi="Arial" w:cs="Arial"/>
                <w:i/>
                <w:iCs/>
                <w:sz w:val="20"/>
                <w:szCs w:val="20"/>
              </w:rPr>
              <w:t xml:space="preserve"> capital expenditure</w:t>
            </w:r>
          </w:p>
        </w:tc>
        <w:tc>
          <w:tcPr>
            <w:tcW w:w="236" w:type="dxa"/>
            <w:tcBorders>
              <w:top w:val="nil"/>
              <w:left w:val="nil"/>
              <w:bottom w:val="nil"/>
              <w:right w:val="nil"/>
            </w:tcBorders>
            <w:shd w:val="clear" w:color="000000" w:fill="FFFFFF"/>
            <w:vAlign w:val="center"/>
            <w:hideMark/>
          </w:tcPr>
          <w:p w14:paraId="202FF8C2" w14:textId="77777777" w:rsidR="00CD3DD3" w:rsidRPr="002E3E3C" w:rsidRDefault="00CD3DD3" w:rsidP="002E3E3C">
            <w:pPr>
              <w:ind w:left="-1389" w:right="-510"/>
              <w:rPr>
                <w:rFonts w:ascii="Arial" w:hAnsi="Arial" w:cs="Arial"/>
                <w:color w:val="A6A6A6"/>
                <w:sz w:val="2"/>
                <w:szCs w:val="2"/>
                <w:lang w:eastAsia="en-AU"/>
              </w:rPr>
            </w:pPr>
            <w:r w:rsidRPr="002E3E3C">
              <w:rPr>
                <w:rFonts w:ascii="Arial" w:hAnsi="Arial" w:cs="Arial"/>
                <w:color w:val="A6A6A6"/>
                <w:sz w:val="2"/>
                <w:szCs w:val="2"/>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6FBD9" w14:textId="77777777" w:rsidR="00CD3DD3" w:rsidRDefault="00CD3DD3" w:rsidP="00584EAB">
            <w:pPr>
              <w:pStyle w:val="ListParagraph"/>
              <w:numPr>
                <w:ilvl w:val="0"/>
                <w:numId w:val="5"/>
              </w:numPr>
              <w:rPr>
                <w:rFonts w:cs="Arial"/>
                <w:lang w:eastAsia="en-AU"/>
              </w:rPr>
            </w:pPr>
            <w:r w:rsidRPr="0090695E">
              <w:rPr>
                <w:rFonts w:cs="Arial"/>
                <w:lang w:eastAsia="en-AU"/>
              </w:rPr>
              <w:t>Service excellence for people</w:t>
            </w:r>
          </w:p>
          <w:p w14:paraId="68D897B6" w14:textId="77777777" w:rsidR="00CD3DD3" w:rsidRDefault="00CD3DD3" w:rsidP="00584EAB">
            <w:pPr>
              <w:pStyle w:val="ListParagraph"/>
              <w:numPr>
                <w:ilvl w:val="0"/>
                <w:numId w:val="5"/>
              </w:numPr>
              <w:rPr>
                <w:rFonts w:cs="Arial"/>
                <w:lang w:eastAsia="en-AU"/>
              </w:rPr>
            </w:pPr>
            <w:r w:rsidRPr="0090695E">
              <w:rPr>
                <w:rFonts w:cs="Arial"/>
                <w:lang w:eastAsia="en-AU"/>
              </w:rPr>
              <w:t>Efficient and effective revenue collection</w:t>
            </w:r>
          </w:p>
          <w:p w14:paraId="5840FFE6" w14:textId="77777777" w:rsidR="00CD3DD3" w:rsidRPr="0090695E" w:rsidRDefault="00CD3DD3" w:rsidP="00584EAB">
            <w:pPr>
              <w:pStyle w:val="ListParagraph"/>
              <w:numPr>
                <w:ilvl w:val="0"/>
                <w:numId w:val="5"/>
              </w:numPr>
              <w:rPr>
                <w:rFonts w:cs="Arial"/>
                <w:lang w:eastAsia="en-AU"/>
              </w:rPr>
            </w:pPr>
            <w:r w:rsidRPr="0090695E">
              <w:rPr>
                <w:rFonts w:cs="Arial"/>
                <w:lang w:eastAsia="en-AU"/>
              </w:rPr>
              <w:t>Service transformation and customer engagement across government</w:t>
            </w:r>
          </w:p>
        </w:tc>
      </w:tr>
      <w:tr w:rsidR="00272982" w:rsidRPr="00D92897" w14:paraId="3BB375A6" w14:textId="77777777" w:rsidTr="002E3E3C">
        <w:trPr>
          <w:trHeight w:val="75"/>
        </w:trPr>
        <w:tc>
          <w:tcPr>
            <w:tcW w:w="5105" w:type="dxa"/>
            <w:tcBorders>
              <w:top w:val="nil"/>
              <w:left w:val="nil"/>
              <w:bottom w:val="nil"/>
              <w:right w:val="nil"/>
            </w:tcBorders>
            <w:shd w:val="clear" w:color="000000" w:fill="FFFFFF"/>
            <w:vAlign w:val="center"/>
            <w:hideMark/>
          </w:tcPr>
          <w:p w14:paraId="0E12C506" w14:textId="77777777" w:rsidR="00CD3DD3" w:rsidRPr="00420408" w:rsidRDefault="00CD3DD3" w:rsidP="00F518AB">
            <w:pPr>
              <w:jc w:val="center"/>
              <w:rPr>
                <w:rFonts w:ascii="Arial" w:hAnsi="Arial" w:cs="Arial"/>
                <w:color w:val="A6A6A6"/>
                <w:sz w:val="2"/>
                <w:szCs w:val="2"/>
                <w:lang w:eastAsia="en-AU"/>
              </w:rPr>
            </w:pPr>
            <w:r w:rsidRPr="00420408">
              <w:rPr>
                <w:rFonts w:ascii="Arial" w:hAnsi="Arial" w:cs="Arial"/>
                <w:color w:val="A6A6A6"/>
                <w:sz w:val="2"/>
                <w:szCs w:val="2"/>
                <w:lang w:eastAsia="en-AU"/>
              </w:rPr>
              <w:t> </w:t>
            </w:r>
          </w:p>
        </w:tc>
        <w:tc>
          <w:tcPr>
            <w:tcW w:w="236" w:type="dxa"/>
            <w:tcBorders>
              <w:top w:val="nil"/>
              <w:left w:val="nil"/>
              <w:bottom w:val="nil"/>
              <w:right w:val="nil"/>
            </w:tcBorders>
            <w:shd w:val="clear" w:color="000000" w:fill="FFFFFF"/>
            <w:vAlign w:val="center"/>
            <w:hideMark/>
          </w:tcPr>
          <w:p w14:paraId="011D37C6" w14:textId="77777777" w:rsidR="00CD3DD3" w:rsidRPr="002E3E3C" w:rsidRDefault="00CD3DD3" w:rsidP="002E3E3C">
            <w:pPr>
              <w:ind w:left="-1389" w:right="-510"/>
              <w:jc w:val="center"/>
              <w:rPr>
                <w:rFonts w:ascii="Arial" w:hAnsi="Arial" w:cs="Arial"/>
                <w:color w:val="A6A6A6"/>
                <w:sz w:val="2"/>
                <w:szCs w:val="2"/>
                <w:lang w:eastAsia="en-AU"/>
              </w:rPr>
            </w:pPr>
            <w:r w:rsidRPr="002E3E3C">
              <w:rPr>
                <w:rFonts w:ascii="Arial" w:hAnsi="Arial" w:cs="Arial"/>
                <w:color w:val="A6A6A6"/>
                <w:sz w:val="2"/>
                <w:szCs w:val="2"/>
                <w:lang w:eastAsia="en-AU"/>
              </w:rPr>
              <w:t> </w:t>
            </w:r>
          </w:p>
        </w:tc>
        <w:tc>
          <w:tcPr>
            <w:tcW w:w="4535" w:type="dxa"/>
            <w:tcBorders>
              <w:top w:val="nil"/>
              <w:left w:val="nil"/>
              <w:bottom w:val="nil"/>
              <w:right w:val="nil"/>
            </w:tcBorders>
            <w:shd w:val="clear" w:color="000000" w:fill="FFFFFF"/>
            <w:vAlign w:val="center"/>
            <w:hideMark/>
          </w:tcPr>
          <w:p w14:paraId="58F14A12" w14:textId="77777777" w:rsidR="00CD3DD3" w:rsidRPr="00420408" w:rsidRDefault="00CD3DD3" w:rsidP="00CD3DD3">
            <w:pPr>
              <w:rPr>
                <w:rFonts w:ascii="Arial" w:hAnsi="Arial" w:cs="Arial"/>
                <w:color w:val="A6A6A6"/>
                <w:sz w:val="2"/>
                <w:szCs w:val="2"/>
                <w:lang w:eastAsia="en-AU"/>
              </w:rPr>
            </w:pPr>
            <w:r w:rsidRPr="00420408">
              <w:rPr>
                <w:rFonts w:ascii="Arial" w:hAnsi="Arial" w:cs="Arial"/>
                <w:color w:val="A6A6A6"/>
                <w:sz w:val="2"/>
                <w:szCs w:val="2"/>
                <w:lang w:eastAsia="en-AU"/>
              </w:rPr>
              <w:t> </w:t>
            </w:r>
          </w:p>
        </w:tc>
      </w:tr>
      <w:tr w:rsidR="00272982" w:rsidRPr="00D92897" w14:paraId="5DB5B5F5" w14:textId="77777777" w:rsidTr="008D0D80">
        <w:trPr>
          <w:trHeight w:val="2607"/>
        </w:trPr>
        <w:tc>
          <w:tcPr>
            <w:tcW w:w="5105" w:type="dxa"/>
            <w:tcBorders>
              <w:top w:val="nil"/>
              <w:left w:val="nil"/>
              <w:bottom w:val="nil"/>
              <w:right w:val="nil"/>
            </w:tcBorders>
            <w:shd w:val="clear" w:color="000000" w:fill="EBF7FE"/>
            <w:vAlign w:val="center"/>
            <w:hideMark/>
          </w:tcPr>
          <w:p w14:paraId="6EB52FD4" w14:textId="77777777" w:rsidR="00CD3DD3" w:rsidRPr="00F07312" w:rsidRDefault="00CD3DD3" w:rsidP="00F518AB">
            <w:pPr>
              <w:pStyle w:val="ListParagraph"/>
              <w:numPr>
                <w:ilvl w:val="0"/>
                <w:numId w:val="7"/>
              </w:numPr>
              <w:spacing w:before="8" w:after="80" w:line="240" w:lineRule="auto"/>
              <w:ind w:left="357" w:hanging="357"/>
              <w:contextualSpacing w:val="0"/>
              <w:rPr>
                <w:rFonts w:cs="Arial"/>
                <w:b/>
                <w:szCs w:val="20"/>
              </w:rPr>
            </w:pPr>
            <w:r w:rsidRPr="007E63F6">
              <w:rPr>
                <w:rFonts w:cs="Arial"/>
                <w:b/>
                <w:szCs w:val="20"/>
              </w:rPr>
              <w:t xml:space="preserve">Digital leadership and </w:t>
            </w:r>
            <w:r w:rsidRPr="00F07312">
              <w:rPr>
                <w:rFonts w:cs="Arial"/>
                <w:b/>
                <w:szCs w:val="20"/>
              </w:rPr>
              <w:t>innovation in government services</w:t>
            </w:r>
          </w:p>
          <w:p w14:paraId="07070DEB" w14:textId="556BAF3F" w:rsidR="00CD3DD3" w:rsidRDefault="00CD3DD3" w:rsidP="00F518AB">
            <w:pPr>
              <w:rPr>
                <w:rFonts w:ascii="Arial" w:hAnsi="Arial" w:cs="Arial"/>
                <w:sz w:val="20"/>
                <w:szCs w:val="20"/>
              </w:rPr>
            </w:pPr>
            <w:r w:rsidRPr="00762EEE">
              <w:rPr>
                <w:rFonts w:ascii="Arial" w:hAnsi="Arial" w:cs="Arial"/>
                <w:sz w:val="20"/>
                <w:szCs w:val="20"/>
              </w:rPr>
              <w:t xml:space="preserve">The </w:t>
            </w:r>
            <w:r>
              <w:rPr>
                <w:rFonts w:ascii="Arial" w:hAnsi="Arial" w:cs="Arial"/>
                <w:sz w:val="20"/>
                <w:szCs w:val="20"/>
              </w:rPr>
              <w:t>C</w:t>
            </w:r>
            <w:r w:rsidRPr="00762EEE">
              <w:rPr>
                <w:rFonts w:ascii="Arial" w:hAnsi="Arial" w:cs="Arial"/>
                <w:sz w:val="20"/>
                <w:szCs w:val="20"/>
              </w:rPr>
              <w:t xml:space="preserve">luster aims to invest in innovation and technology to increase and improve digital availability, reliability and security of NSW </w:t>
            </w:r>
            <w:r w:rsidR="0026628A">
              <w:rPr>
                <w:rFonts w:ascii="Arial" w:hAnsi="Arial" w:cs="Arial"/>
                <w:sz w:val="20"/>
                <w:szCs w:val="20"/>
              </w:rPr>
              <w:t>G</w:t>
            </w:r>
            <w:r w:rsidRPr="00762EEE">
              <w:rPr>
                <w:rFonts w:ascii="Arial" w:hAnsi="Arial" w:cs="Arial"/>
                <w:sz w:val="20"/>
                <w:szCs w:val="20"/>
              </w:rPr>
              <w:t>overnment platforms, information and services.</w:t>
            </w:r>
            <w:r>
              <w:rPr>
                <w:rFonts w:ascii="Arial" w:hAnsi="Arial" w:cs="Arial"/>
                <w:sz w:val="20"/>
                <w:szCs w:val="20"/>
              </w:rPr>
              <w:t xml:space="preserve"> </w:t>
            </w:r>
            <w:r w:rsidRPr="0007224F">
              <w:rPr>
                <w:rFonts w:ascii="Arial" w:hAnsi="Arial" w:cs="Arial"/>
                <w:sz w:val="20"/>
                <w:szCs w:val="20"/>
              </w:rPr>
              <w:t>This Outcome measures digital readiness</w:t>
            </w:r>
            <w:r>
              <w:rPr>
                <w:rFonts w:ascii="Arial" w:hAnsi="Arial" w:cs="Arial"/>
                <w:sz w:val="20"/>
                <w:szCs w:val="20"/>
              </w:rPr>
              <w:t xml:space="preserve"> and the public safety coverage and operation of the Critical Communications Enhancement Program</w:t>
            </w:r>
            <w:r w:rsidRPr="0007224F">
              <w:rPr>
                <w:rFonts w:ascii="Arial" w:hAnsi="Arial" w:cs="Arial"/>
                <w:sz w:val="20"/>
                <w:szCs w:val="20"/>
              </w:rPr>
              <w:t>.</w:t>
            </w:r>
          </w:p>
          <w:p w14:paraId="74DF1260" w14:textId="77777777" w:rsidR="003A20F8" w:rsidRPr="0090565F" w:rsidRDefault="003A20F8" w:rsidP="00F518AB">
            <w:pPr>
              <w:rPr>
                <w:rFonts w:ascii="Arial" w:hAnsi="Arial" w:cs="Arial"/>
                <w:sz w:val="12"/>
                <w:szCs w:val="12"/>
                <w:lang w:eastAsia="en-AU"/>
              </w:rPr>
            </w:pPr>
          </w:p>
          <w:p w14:paraId="37F8BFA4" w14:textId="0476B220" w:rsidR="00CD3DD3" w:rsidRPr="00D92897" w:rsidRDefault="003A20F8" w:rsidP="00F518AB">
            <w:pPr>
              <w:rPr>
                <w:rFonts w:ascii="Arial" w:hAnsi="Arial" w:cs="Arial"/>
                <w:lang w:eastAsia="en-AU"/>
              </w:rPr>
            </w:pPr>
            <w:r w:rsidRPr="003A20F8">
              <w:rPr>
                <w:rFonts w:ascii="Arial" w:hAnsi="Arial" w:cs="Arial"/>
                <w:i/>
                <w:iCs/>
                <w:sz w:val="20"/>
                <w:szCs w:val="20"/>
              </w:rPr>
              <w:t>2020-21 investment: $</w:t>
            </w:r>
            <w:r w:rsidR="006B28C7">
              <w:rPr>
                <w:rFonts w:ascii="Arial" w:hAnsi="Arial" w:cs="Arial"/>
                <w:i/>
                <w:iCs/>
                <w:sz w:val="20"/>
                <w:szCs w:val="20"/>
              </w:rPr>
              <w:t>690.3 million</w:t>
            </w:r>
            <w:r w:rsidRPr="003A20F8">
              <w:rPr>
                <w:rFonts w:ascii="Arial" w:hAnsi="Arial" w:cs="Arial"/>
                <w:i/>
                <w:iCs/>
                <w:sz w:val="20"/>
                <w:szCs w:val="20"/>
              </w:rPr>
              <w:t xml:space="preserve"> recurrent expenses &amp; $</w:t>
            </w:r>
            <w:r w:rsidR="005264EC">
              <w:rPr>
                <w:rFonts w:ascii="Arial" w:hAnsi="Arial" w:cs="Arial"/>
                <w:i/>
                <w:iCs/>
                <w:sz w:val="20"/>
                <w:szCs w:val="20"/>
              </w:rPr>
              <w:t>243.5 million</w:t>
            </w:r>
            <w:r w:rsidRPr="003A20F8">
              <w:rPr>
                <w:rFonts w:ascii="Arial" w:hAnsi="Arial" w:cs="Arial"/>
                <w:i/>
                <w:iCs/>
                <w:sz w:val="20"/>
                <w:szCs w:val="20"/>
              </w:rPr>
              <w:t xml:space="preserve"> capital expenditure</w:t>
            </w:r>
          </w:p>
        </w:tc>
        <w:tc>
          <w:tcPr>
            <w:tcW w:w="236" w:type="dxa"/>
            <w:tcBorders>
              <w:top w:val="nil"/>
              <w:left w:val="nil"/>
              <w:bottom w:val="nil"/>
              <w:right w:val="nil"/>
            </w:tcBorders>
            <w:shd w:val="clear" w:color="000000" w:fill="FFFFFF"/>
            <w:vAlign w:val="center"/>
            <w:hideMark/>
          </w:tcPr>
          <w:p w14:paraId="5CDCD882" w14:textId="77777777" w:rsidR="00CD3DD3" w:rsidRPr="002E3E3C" w:rsidRDefault="00CD3DD3" w:rsidP="002E3E3C">
            <w:pPr>
              <w:ind w:left="-1389" w:right="-510"/>
              <w:jc w:val="center"/>
              <w:rPr>
                <w:rFonts w:ascii="Arial" w:hAnsi="Arial" w:cs="Arial"/>
                <w:color w:val="A6A6A6"/>
                <w:sz w:val="2"/>
                <w:szCs w:val="2"/>
                <w:lang w:eastAsia="en-AU"/>
              </w:rPr>
            </w:pPr>
            <w:r w:rsidRPr="002E3E3C">
              <w:rPr>
                <w:rFonts w:ascii="Arial" w:hAnsi="Arial" w:cs="Arial"/>
                <w:color w:val="A6A6A6"/>
                <w:sz w:val="2"/>
                <w:szCs w:val="2"/>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ADC94" w14:textId="77777777" w:rsidR="00CD3DD3" w:rsidRDefault="00CD3DD3" w:rsidP="00584EAB">
            <w:pPr>
              <w:pStyle w:val="ListParagraph"/>
              <w:numPr>
                <w:ilvl w:val="0"/>
                <w:numId w:val="5"/>
              </w:numPr>
              <w:rPr>
                <w:rFonts w:cs="Arial"/>
                <w:lang w:eastAsia="en-AU"/>
              </w:rPr>
            </w:pPr>
            <w:r w:rsidRPr="00715CD6">
              <w:rPr>
                <w:rFonts w:cs="Arial"/>
                <w:lang w:eastAsia="en-AU"/>
              </w:rPr>
              <w:t>Telecommunication connectivity</w:t>
            </w:r>
          </w:p>
          <w:p w14:paraId="619CDC13" w14:textId="77777777" w:rsidR="00CD3DD3" w:rsidRDefault="00CD3DD3" w:rsidP="00584EAB">
            <w:pPr>
              <w:pStyle w:val="ListParagraph"/>
              <w:numPr>
                <w:ilvl w:val="0"/>
                <w:numId w:val="5"/>
              </w:numPr>
              <w:rPr>
                <w:rFonts w:cs="Arial"/>
                <w:lang w:eastAsia="en-AU"/>
              </w:rPr>
            </w:pPr>
            <w:r w:rsidRPr="00BA02F6">
              <w:rPr>
                <w:rFonts w:cs="Arial"/>
                <w:lang w:eastAsia="en-AU"/>
              </w:rPr>
              <w:t>Digital service for customers across government</w:t>
            </w:r>
          </w:p>
          <w:p w14:paraId="59B3BB96" w14:textId="77777777" w:rsidR="00CD3DD3" w:rsidRDefault="00CD3DD3" w:rsidP="00584EAB">
            <w:pPr>
              <w:pStyle w:val="ListParagraph"/>
              <w:numPr>
                <w:ilvl w:val="0"/>
                <w:numId w:val="5"/>
              </w:numPr>
              <w:rPr>
                <w:rFonts w:cs="Arial"/>
                <w:lang w:eastAsia="en-AU"/>
              </w:rPr>
            </w:pPr>
            <w:r w:rsidRPr="00BA02F6">
              <w:rPr>
                <w:rFonts w:cs="Arial"/>
                <w:lang w:eastAsia="en-AU"/>
              </w:rPr>
              <w:t>Trust in ICT and digital government services</w:t>
            </w:r>
          </w:p>
          <w:p w14:paraId="5F305EE7" w14:textId="77777777" w:rsidR="00CD3DD3" w:rsidRPr="00D92897" w:rsidRDefault="00CD3DD3" w:rsidP="00584EAB">
            <w:pPr>
              <w:pStyle w:val="ListParagraph"/>
              <w:numPr>
                <w:ilvl w:val="0"/>
                <w:numId w:val="5"/>
              </w:numPr>
              <w:rPr>
                <w:rFonts w:cs="Arial"/>
                <w:lang w:eastAsia="en-AU"/>
              </w:rPr>
            </w:pPr>
            <w:r w:rsidRPr="00BA02F6">
              <w:rPr>
                <w:rFonts w:cs="Arial"/>
                <w:lang w:eastAsia="en-AU"/>
              </w:rPr>
              <w:t>Value from digital investments</w:t>
            </w:r>
          </w:p>
        </w:tc>
      </w:tr>
      <w:tr w:rsidR="00272982" w:rsidRPr="00D92897" w14:paraId="5A42E444" w14:textId="77777777" w:rsidTr="004203F2">
        <w:trPr>
          <w:trHeight w:val="57"/>
        </w:trPr>
        <w:tc>
          <w:tcPr>
            <w:tcW w:w="5105" w:type="dxa"/>
            <w:tcBorders>
              <w:top w:val="nil"/>
              <w:left w:val="nil"/>
              <w:bottom w:val="nil"/>
              <w:right w:val="nil"/>
            </w:tcBorders>
            <w:shd w:val="clear" w:color="000000" w:fill="FFFFFF"/>
            <w:vAlign w:val="center"/>
            <w:hideMark/>
          </w:tcPr>
          <w:p w14:paraId="1F126361" w14:textId="77777777" w:rsidR="00CD3DD3" w:rsidRPr="00420408" w:rsidRDefault="00CD3DD3" w:rsidP="00F518AB">
            <w:pPr>
              <w:jc w:val="center"/>
              <w:rPr>
                <w:rFonts w:ascii="Arial" w:hAnsi="Arial" w:cs="Arial"/>
                <w:color w:val="A6A6A6"/>
                <w:sz w:val="2"/>
                <w:szCs w:val="2"/>
                <w:lang w:eastAsia="en-AU"/>
              </w:rPr>
            </w:pPr>
            <w:r w:rsidRPr="00420408">
              <w:rPr>
                <w:rFonts w:ascii="Arial" w:hAnsi="Arial" w:cs="Arial"/>
                <w:color w:val="A6A6A6"/>
                <w:sz w:val="2"/>
                <w:szCs w:val="2"/>
                <w:lang w:eastAsia="en-AU"/>
              </w:rPr>
              <w:t> </w:t>
            </w:r>
          </w:p>
        </w:tc>
        <w:tc>
          <w:tcPr>
            <w:tcW w:w="236" w:type="dxa"/>
            <w:tcBorders>
              <w:top w:val="nil"/>
              <w:left w:val="nil"/>
              <w:bottom w:val="nil"/>
              <w:right w:val="nil"/>
            </w:tcBorders>
            <w:shd w:val="clear" w:color="000000" w:fill="FFFFFF"/>
            <w:vAlign w:val="center"/>
            <w:hideMark/>
          </w:tcPr>
          <w:p w14:paraId="1F7B3EE1" w14:textId="77777777" w:rsidR="00CD3DD3" w:rsidRPr="002E3E3C" w:rsidRDefault="00CD3DD3" w:rsidP="002E3E3C">
            <w:pPr>
              <w:ind w:left="-1389" w:right="-510"/>
              <w:jc w:val="center"/>
              <w:rPr>
                <w:rFonts w:ascii="Arial" w:hAnsi="Arial" w:cs="Arial"/>
                <w:color w:val="A6A6A6"/>
                <w:sz w:val="2"/>
                <w:szCs w:val="2"/>
                <w:lang w:eastAsia="en-AU"/>
              </w:rPr>
            </w:pPr>
            <w:r w:rsidRPr="002E3E3C">
              <w:rPr>
                <w:rFonts w:ascii="Arial" w:hAnsi="Arial" w:cs="Arial"/>
                <w:color w:val="A6A6A6"/>
                <w:sz w:val="2"/>
                <w:szCs w:val="2"/>
                <w:lang w:eastAsia="en-AU"/>
              </w:rPr>
              <w:t> </w:t>
            </w:r>
          </w:p>
        </w:tc>
        <w:tc>
          <w:tcPr>
            <w:tcW w:w="4535" w:type="dxa"/>
            <w:tcBorders>
              <w:top w:val="nil"/>
              <w:left w:val="nil"/>
              <w:bottom w:val="nil"/>
              <w:right w:val="nil"/>
            </w:tcBorders>
            <w:shd w:val="clear" w:color="000000" w:fill="FFFFFF"/>
            <w:vAlign w:val="center"/>
            <w:hideMark/>
          </w:tcPr>
          <w:p w14:paraId="562811E2" w14:textId="77777777" w:rsidR="00CD3DD3" w:rsidRPr="00420408" w:rsidRDefault="00CD3DD3" w:rsidP="00CD3DD3">
            <w:pPr>
              <w:rPr>
                <w:rFonts w:ascii="Arial" w:hAnsi="Arial" w:cs="Arial"/>
                <w:color w:val="A6A6A6"/>
                <w:sz w:val="2"/>
                <w:szCs w:val="2"/>
                <w:lang w:eastAsia="en-AU"/>
              </w:rPr>
            </w:pPr>
            <w:r w:rsidRPr="00420408">
              <w:rPr>
                <w:rFonts w:ascii="Arial" w:hAnsi="Arial" w:cs="Arial"/>
                <w:color w:val="A6A6A6"/>
                <w:sz w:val="2"/>
                <w:szCs w:val="2"/>
                <w:lang w:eastAsia="en-AU"/>
              </w:rPr>
              <w:t> </w:t>
            </w:r>
          </w:p>
        </w:tc>
      </w:tr>
      <w:tr w:rsidR="00272982" w:rsidRPr="00D92897" w14:paraId="54063FDE" w14:textId="77777777" w:rsidTr="00273078">
        <w:trPr>
          <w:trHeight w:val="2608"/>
        </w:trPr>
        <w:tc>
          <w:tcPr>
            <w:tcW w:w="5105" w:type="dxa"/>
            <w:tcBorders>
              <w:top w:val="nil"/>
              <w:left w:val="nil"/>
              <w:bottom w:val="nil"/>
              <w:right w:val="nil"/>
            </w:tcBorders>
            <w:shd w:val="clear" w:color="000000" w:fill="BAE4FC"/>
            <w:vAlign w:val="center"/>
            <w:hideMark/>
          </w:tcPr>
          <w:p w14:paraId="533BE463" w14:textId="77777777" w:rsidR="00CD3DD3" w:rsidRPr="00176F4A" w:rsidRDefault="00CD3DD3" w:rsidP="00F518AB">
            <w:pPr>
              <w:pStyle w:val="ListParagraph"/>
              <w:numPr>
                <w:ilvl w:val="0"/>
                <w:numId w:val="7"/>
              </w:numPr>
              <w:spacing w:before="8" w:after="80" w:line="240" w:lineRule="auto"/>
              <w:ind w:left="357" w:hanging="357"/>
              <w:contextualSpacing w:val="0"/>
              <w:rPr>
                <w:rFonts w:cs="Arial"/>
                <w:b/>
                <w:szCs w:val="20"/>
              </w:rPr>
            </w:pPr>
            <w:r w:rsidRPr="007E63F6">
              <w:rPr>
                <w:rFonts w:cs="Arial"/>
                <w:b/>
                <w:szCs w:val="20"/>
              </w:rPr>
              <w:t>Fair, secure and efficient markets</w:t>
            </w:r>
          </w:p>
          <w:p w14:paraId="5DDFB4E8" w14:textId="77777777" w:rsidR="00CD3DD3" w:rsidRDefault="00CD3DD3" w:rsidP="00F518AB">
            <w:pPr>
              <w:rPr>
                <w:rFonts w:ascii="Arial" w:hAnsi="Arial" w:cs="Arial"/>
                <w:sz w:val="20"/>
                <w:szCs w:val="20"/>
              </w:rPr>
            </w:pPr>
            <w:r w:rsidRPr="00EC26F0">
              <w:rPr>
                <w:rFonts w:ascii="Arial" w:hAnsi="Arial" w:cs="Arial"/>
                <w:sz w:val="20"/>
                <w:szCs w:val="20"/>
              </w:rPr>
              <w:t xml:space="preserve">The </w:t>
            </w:r>
            <w:r>
              <w:rPr>
                <w:rFonts w:ascii="Arial" w:hAnsi="Arial" w:cs="Arial"/>
                <w:sz w:val="20"/>
                <w:szCs w:val="20"/>
              </w:rPr>
              <w:t>C</w:t>
            </w:r>
            <w:r w:rsidRPr="00EC26F0">
              <w:rPr>
                <w:rFonts w:ascii="Arial" w:hAnsi="Arial" w:cs="Arial"/>
                <w:sz w:val="20"/>
                <w:szCs w:val="20"/>
              </w:rPr>
              <w:t>luster has a fundamental objective of delivering a regulatory framework that promotes safety, efficiency and regulatory requirements with the evolving expectations of businesses and customers. This Outcome measures the regulatory compliance rates of selected industries, the rate of work-related traumatic injury fatalities and the affordability of the Compulsory Third Party Insurance scheme.</w:t>
            </w:r>
          </w:p>
          <w:p w14:paraId="3A3F788C" w14:textId="77777777" w:rsidR="003A20F8" w:rsidRPr="00283302" w:rsidRDefault="003A20F8" w:rsidP="00F518AB">
            <w:pPr>
              <w:rPr>
                <w:rFonts w:ascii="Arial" w:hAnsi="Arial" w:cs="Arial"/>
                <w:sz w:val="12"/>
                <w:szCs w:val="12"/>
              </w:rPr>
            </w:pPr>
          </w:p>
          <w:p w14:paraId="3BB58215" w14:textId="3C0D6674" w:rsidR="00CD3DD3" w:rsidRPr="001A0AA9" w:rsidRDefault="003A20F8" w:rsidP="00F518AB">
            <w:pPr>
              <w:rPr>
                <w:rFonts w:ascii="Arial" w:hAnsi="Arial" w:cs="Arial"/>
                <w:sz w:val="20"/>
                <w:szCs w:val="20"/>
              </w:rPr>
            </w:pPr>
            <w:r w:rsidRPr="003A20F8">
              <w:rPr>
                <w:rFonts w:ascii="Arial" w:hAnsi="Arial" w:cs="Arial"/>
                <w:i/>
                <w:iCs/>
                <w:sz w:val="20"/>
                <w:szCs w:val="20"/>
              </w:rPr>
              <w:t>2020-21 investment: $</w:t>
            </w:r>
            <w:r w:rsidR="00986275">
              <w:rPr>
                <w:rFonts w:ascii="Arial" w:hAnsi="Arial" w:cs="Arial"/>
                <w:i/>
                <w:iCs/>
                <w:sz w:val="20"/>
                <w:szCs w:val="20"/>
              </w:rPr>
              <w:t>1.5 billion</w:t>
            </w:r>
            <w:r w:rsidRPr="003A20F8">
              <w:rPr>
                <w:rFonts w:ascii="Arial" w:hAnsi="Arial" w:cs="Arial"/>
                <w:i/>
                <w:iCs/>
                <w:sz w:val="20"/>
                <w:szCs w:val="20"/>
              </w:rPr>
              <w:t xml:space="preserve"> recurrent expenses &amp; $</w:t>
            </w:r>
            <w:r w:rsidR="00986275">
              <w:rPr>
                <w:rFonts w:ascii="Arial" w:hAnsi="Arial" w:cs="Arial"/>
                <w:i/>
                <w:iCs/>
                <w:sz w:val="20"/>
                <w:szCs w:val="20"/>
              </w:rPr>
              <w:t>66.7 million</w:t>
            </w:r>
            <w:r w:rsidRPr="003A20F8">
              <w:rPr>
                <w:rFonts w:ascii="Arial" w:hAnsi="Arial" w:cs="Arial"/>
                <w:i/>
                <w:iCs/>
                <w:sz w:val="20"/>
                <w:szCs w:val="20"/>
              </w:rPr>
              <w:t xml:space="preserve"> capital expenditure</w:t>
            </w:r>
          </w:p>
        </w:tc>
        <w:tc>
          <w:tcPr>
            <w:tcW w:w="236" w:type="dxa"/>
            <w:tcBorders>
              <w:top w:val="nil"/>
              <w:left w:val="nil"/>
              <w:bottom w:val="nil"/>
              <w:right w:val="nil"/>
            </w:tcBorders>
            <w:shd w:val="clear" w:color="000000" w:fill="FFFFFF"/>
            <w:vAlign w:val="center"/>
            <w:hideMark/>
          </w:tcPr>
          <w:p w14:paraId="3D4C2A7C" w14:textId="77777777" w:rsidR="00CD3DD3" w:rsidRPr="002E3E3C" w:rsidRDefault="00CD3DD3" w:rsidP="002E3E3C">
            <w:pPr>
              <w:ind w:left="-1389" w:right="-510"/>
              <w:jc w:val="center"/>
              <w:rPr>
                <w:rFonts w:ascii="Arial" w:hAnsi="Arial" w:cs="Arial"/>
                <w:color w:val="A6A6A6"/>
                <w:sz w:val="2"/>
                <w:szCs w:val="2"/>
                <w:lang w:eastAsia="en-AU"/>
              </w:rPr>
            </w:pPr>
            <w:r w:rsidRPr="002E3E3C">
              <w:rPr>
                <w:rFonts w:ascii="Arial" w:hAnsi="Arial" w:cs="Arial"/>
                <w:color w:val="A6A6A6"/>
                <w:sz w:val="2"/>
                <w:szCs w:val="2"/>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000000" w:fill="FFFFFF"/>
            <w:vAlign w:val="center"/>
          </w:tcPr>
          <w:p w14:paraId="2E069C22" w14:textId="77777777" w:rsidR="00CD3DD3" w:rsidRDefault="00CD3DD3" w:rsidP="00584EAB">
            <w:pPr>
              <w:pStyle w:val="ListParagraph"/>
              <w:numPr>
                <w:ilvl w:val="0"/>
                <w:numId w:val="6"/>
              </w:numPr>
              <w:rPr>
                <w:rFonts w:cs="Arial"/>
                <w:lang w:eastAsia="en-AU"/>
              </w:rPr>
            </w:pPr>
            <w:r w:rsidRPr="0090695E">
              <w:rPr>
                <w:rFonts w:cs="Arial"/>
                <w:lang w:eastAsia="en-AU"/>
              </w:rPr>
              <w:t>Safety and harm protection</w:t>
            </w:r>
          </w:p>
          <w:p w14:paraId="4EA089F6" w14:textId="77777777" w:rsidR="00CD3DD3" w:rsidRDefault="00CD3DD3" w:rsidP="00584EAB">
            <w:pPr>
              <w:pStyle w:val="ListParagraph"/>
              <w:numPr>
                <w:ilvl w:val="0"/>
                <w:numId w:val="6"/>
              </w:numPr>
              <w:rPr>
                <w:rFonts w:cs="Arial"/>
                <w:lang w:eastAsia="en-AU"/>
              </w:rPr>
            </w:pPr>
            <w:r w:rsidRPr="0090695E">
              <w:rPr>
                <w:rFonts w:cs="Arial"/>
                <w:lang w:eastAsia="en-AU"/>
              </w:rPr>
              <w:t>Affordable and effective insurance scheme</w:t>
            </w:r>
            <w:r>
              <w:rPr>
                <w:rFonts w:cs="Arial"/>
                <w:lang w:eastAsia="en-AU"/>
              </w:rPr>
              <w:t>s</w:t>
            </w:r>
          </w:p>
          <w:p w14:paraId="7FD97263" w14:textId="77777777" w:rsidR="00CD3DD3" w:rsidRPr="0090695E" w:rsidRDefault="00CD3DD3" w:rsidP="00584EAB">
            <w:pPr>
              <w:pStyle w:val="ListParagraph"/>
              <w:numPr>
                <w:ilvl w:val="0"/>
                <w:numId w:val="6"/>
              </w:numPr>
              <w:rPr>
                <w:rFonts w:cs="Arial"/>
                <w:lang w:eastAsia="en-AU"/>
              </w:rPr>
            </w:pPr>
            <w:r w:rsidRPr="0090695E">
              <w:rPr>
                <w:rFonts w:cs="Arial"/>
                <w:lang w:eastAsia="en-AU"/>
              </w:rPr>
              <w:t>Fair and compliant business</w:t>
            </w:r>
          </w:p>
        </w:tc>
      </w:tr>
    </w:tbl>
    <w:p w14:paraId="22A4EC5B" w14:textId="77777777" w:rsidR="00E606EB" w:rsidRPr="000D21B5" w:rsidRDefault="00E606EB" w:rsidP="00E606EB">
      <w:pPr>
        <w:rPr>
          <w:rFonts w:ascii="Arial" w:hAnsi="Arial" w:cs="Arial"/>
          <w:sz w:val="6"/>
          <w:szCs w:val="6"/>
        </w:rPr>
      </w:pPr>
    </w:p>
    <w:p w14:paraId="0ECD03E3" w14:textId="655037C5" w:rsidR="00CD3DD3" w:rsidRPr="000D21B5" w:rsidRDefault="00CD3DD3" w:rsidP="00B529FA">
      <w:pPr>
        <w:pStyle w:val="ListParagraph"/>
        <w:numPr>
          <w:ilvl w:val="0"/>
          <w:numId w:val="19"/>
        </w:numPr>
        <w:spacing w:after="0" w:line="240" w:lineRule="auto"/>
        <w:ind w:left="357" w:hanging="357"/>
        <w:contextualSpacing w:val="0"/>
        <w:rPr>
          <w:rFonts w:cs="Arial"/>
          <w:sz w:val="17"/>
          <w:szCs w:val="17"/>
        </w:rPr>
      </w:pPr>
      <w:r w:rsidRPr="000D21B5">
        <w:rPr>
          <w:rFonts w:cs="Arial"/>
          <w:sz w:val="17"/>
          <w:szCs w:val="17"/>
        </w:rPr>
        <w:t xml:space="preserve">Note that Programs are being further refined as the </w:t>
      </w:r>
      <w:r w:rsidR="00D07C50">
        <w:rPr>
          <w:rFonts w:cs="Arial"/>
          <w:sz w:val="17"/>
          <w:szCs w:val="17"/>
        </w:rPr>
        <w:t>o</w:t>
      </w:r>
      <w:r w:rsidRPr="000D21B5">
        <w:rPr>
          <w:rFonts w:cs="Arial"/>
          <w:i/>
          <w:iCs/>
          <w:sz w:val="17"/>
          <w:szCs w:val="17"/>
        </w:rPr>
        <w:t xml:space="preserve">utcome and </w:t>
      </w:r>
      <w:r w:rsidR="00D07C50">
        <w:rPr>
          <w:rFonts w:cs="Arial"/>
          <w:i/>
          <w:iCs/>
          <w:sz w:val="17"/>
          <w:szCs w:val="17"/>
        </w:rPr>
        <w:t>p</w:t>
      </w:r>
      <w:r w:rsidRPr="000D21B5">
        <w:rPr>
          <w:rFonts w:cs="Arial"/>
          <w:i/>
          <w:iCs/>
          <w:sz w:val="17"/>
          <w:szCs w:val="17"/>
        </w:rPr>
        <w:t xml:space="preserve">erformance </w:t>
      </w:r>
      <w:r w:rsidR="00D07C50">
        <w:rPr>
          <w:rFonts w:cs="Arial"/>
          <w:i/>
          <w:iCs/>
          <w:sz w:val="17"/>
          <w:szCs w:val="17"/>
        </w:rPr>
        <w:t>f</w:t>
      </w:r>
      <w:r w:rsidRPr="000D21B5">
        <w:rPr>
          <w:rFonts w:cs="Arial"/>
          <w:i/>
          <w:iCs/>
          <w:sz w:val="17"/>
          <w:szCs w:val="17"/>
        </w:rPr>
        <w:t>ramework</w:t>
      </w:r>
      <w:r w:rsidRPr="000D21B5">
        <w:rPr>
          <w:rFonts w:cs="Arial"/>
          <w:sz w:val="17"/>
          <w:szCs w:val="17"/>
        </w:rPr>
        <w:t xml:space="preserve"> continues to mature</w:t>
      </w:r>
      <w:r w:rsidR="00490B5E">
        <w:rPr>
          <w:rFonts w:cs="Arial"/>
          <w:sz w:val="17"/>
          <w:szCs w:val="17"/>
        </w:rPr>
        <w:t>.</w:t>
      </w:r>
      <w:r w:rsidRPr="000D21B5">
        <w:rPr>
          <w:rFonts w:cs="Arial"/>
          <w:sz w:val="17"/>
          <w:szCs w:val="17"/>
        </w:rPr>
        <w:t xml:space="preserve"> </w:t>
      </w:r>
    </w:p>
    <w:p w14:paraId="5CA30129" w14:textId="1D64089B" w:rsidR="005B3240" w:rsidRDefault="0079035A" w:rsidP="008365CE">
      <w:pPr>
        <w:pStyle w:val="Heading2"/>
        <w:numPr>
          <w:ilvl w:val="0"/>
          <w:numId w:val="0"/>
        </w:numPr>
        <w:ind w:left="360" w:hanging="360"/>
      </w:pPr>
      <w:bookmarkStart w:id="8" w:name="_Hlk510081134"/>
      <w:bookmarkEnd w:id="2"/>
      <w:r>
        <w:lastRenderedPageBreak/>
        <w:t>1.</w:t>
      </w:r>
      <w:r w:rsidR="008365CE">
        <w:t>1</w:t>
      </w:r>
      <w:r>
        <w:t xml:space="preserve"> </w:t>
      </w:r>
      <w:r w:rsidR="00796317">
        <w:tab/>
      </w:r>
      <w:r w:rsidR="00BD3637">
        <w:t xml:space="preserve">Overview </w:t>
      </w:r>
      <w:r w:rsidR="003D38E5">
        <w:t xml:space="preserve">of </w:t>
      </w:r>
      <w:r w:rsidR="00754F71">
        <w:t>C</w:t>
      </w:r>
      <w:r w:rsidR="003D38E5" w:rsidRPr="00273078">
        <w:t>luster</w:t>
      </w:r>
      <w:r w:rsidR="003D38E5">
        <w:t xml:space="preserve"> expenses by State Outcome </w:t>
      </w:r>
    </w:p>
    <w:p w14:paraId="305BB87E" w14:textId="78DC2306" w:rsidR="005B3240" w:rsidRDefault="00371759" w:rsidP="00F01446">
      <w:pPr>
        <w:pStyle w:val="BodyText"/>
      </w:pPr>
      <w:r>
        <w:t xml:space="preserve">A summary of expenses by State </w:t>
      </w:r>
      <w:r w:rsidR="007E5AE7">
        <w:t>Outcome is provided in the chart</w:t>
      </w:r>
      <w:r w:rsidR="001B2BFA">
        <w:t>s</w:t>
      </w:r>
      <w:r w:rsidR="007E5AE7">
        <w:t xml:space="preserve"> below.</w:t>
      </w:r>
    </w:p>
    <w:p w14:paraId="52EFB889" w14:textId="74175197" w:rsidR="00A32DBE" w:rsidRDefault="00A32DBE" w:rsidP="00273078">
      <w:pPr>
        <w:pStyle w:val="Chart1X"/>
      </w:pPr>
      <w:r w:rsidRPr="00DC7B4D">
        <w:t xml:space="preserve">Recurrent expenses by </w:t>
      </w:r>
      <w:r w:rsidR="008C0DD5">
        <w:t>O</w:t>
      </w:r>
      <w:r w:rsidRPr="00DC7B4D">
        <w:t>utcome 2020-21 (dollars and %)</w:t>
      </w:r>
    </w:p>
    <w:p w14:paraId="1225E6FF" w14:textId="2C4E6F1D" w:rsidR="004B0455" w:rsidRDefault="00192877" w:rsidP="00273078">
      <w:pPr>
        <w:rPr>
          <w:rFonts w:ascii="Arial" w:hAnsi="Arial" w:cs="Arial"/>
          <w:sz w:val="23"/>
          <w:szCs w:val="20"/>
        </w:rPr>
      </w:pPr>
      <w:bookmarkStart w:id="9" w:name="_GoBack"/>
      <w:r>
        <w:rPr>
          <w:noProof/>
        </w:rPr>
        <w:drawing>
          <wp:inline distT="0" distB="0" distL="0" distR="0" wp14:anchorId="0F6622F9" wp14:editId="11737CCC">
            <wp:extent cx="6023610" cy="3218815"/>
            <wp:effectExtent l="0" t="0" r="0" b="635"/>
            <wp:docPr id="3" name="Picture 3" descr="Chart 1.1: Recurrent expenses by Outcome 2020-21 (dolla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6023610" cy="3218815"/>
                    </a:xfrm>
                    <a:prstGeom prst="rect">
                      <a:avLst/>
                    </a:prstGeom>
                    <a:ln>
                      <a:noFill/>
                    </a:ln>
                  </pic:spPr>
                </pic:pic>
              </a:graphicData>
            </a:graphic>
          </wp:inline>
        </w:drawing>
      </w:r>
      <w:bookmarkEnd w:id="9"/>
    </w:p>
    <w:p w14:paraId="40B08895" w14:textId="77777777" w:rsidR="003C4E4A" w:rsidRPr="006F6DC8" w:rsidRDefault="003C4E4A" w:rsidP="003C4E4A">
      <w:pPr>
        <w:rPr>
          <w:rFonts w:ascii="Arial" w:hAnsi="Arial" w:cs="Arial"/>
          <w:b/>
          <w:bCs/>
          <w:sz w:val="17"/>
          <w:szCs w:val="17"/>
        </w:rPr>
      </w:pPr>
      <w:r w:rsidRPr="006F6DC8">
        <w:rPr>
          <w:rFonts w:ascii="Arial" w:hAnsi="Arial" w:cs="Arial"/>
          <w:sz w:val="17"/>
          <w:szCs w:val="17"/>
        </w:rPr>
        <w:t>Note: The sum of percentages does not equal one hundred due to rounding.</w:t>
      </w:r>
    </w:p>
    <w:p w14:paraId="4CB00C48" w14:textId="77777777" w:rsidR="00A32DBE" w:rsidRDefault="00A32DBE" w:rsidP="00A32DBE">
      <w:pPr>
        <w:rPr>
          <w:rFonts w:ascii="Arial" w:hAnsi="Arial" w:cs="Arial"/>
          <w:b/>
          <w:bCs/>
          <w:sz w:val="17"/>
          <w:szCs w:val="17"/>
        </w:rPr>
      </w:pPr>
    </w:p>
    <w:p w14:paraId="6AFAEB80" w14:textId="004A9DBE" w:rsidR="00A32DBE" w:rsidRPr="00DC7B4D" w:rsidRDefault="00A32DBE" w:rsidP="00273078">
      <w:pPr>
        <w:pStyle w:val="Chart1X"/>
      </w:pPr>
      <w:r>
        <w:t xml:space="preserve">Capital expenditure by </w:t>
      </w:r>
      <w:r w:rsidR="006F6DC8">
        <w:t>O</w:t>
      </w:r>
      <w:r>
        <w:t>utcome 2020-21</w:t>
      </w:r>
      <w:r w:rsidRPr="00DC7B4D">
        <w:t xml:space="preserve"> (dollars and %)</w:t>
      </w:r>
    </w:p>
    <w:p w14:paraId="2272B08D" w14:textId="38148D1E" w:rsidR="000A6FD4" w:rsidRPr="00DC7B4D" w:rsidRDefault="000A6FD4">
      <w:pPr>
        <w:rPr>
          <w:rFonts w:ascii="Arial" w:hAnsi="Arial" w:cs="Arial"/>
          <w:b/>
          <w:bCs/>
          <w:sz w:val="17"/>
          <w:szCs w:val="17"/>
        </w:rPr>
      </w:pPr>
    </w:p>
    <w:p w14:paraId="614C9213" w14:textId="45C64FDA" w:rsidR="005B3240" w:rsidRDefault="009E3514" w:rsidP="00273078">
      <w:pPr>
        <w:rPr>
          <w:rFonts w:ascii="Arial" w:eastAsia="Times New Roman" w:hAnsi="Arial"/>
          <w:color w:val="00ABE6"/>
          <w:sz w:val="28"/>
          <w:szCs w:val="20"/>
        </w:rPr>
      </w:pPr>
      <w:r>
        <w:rPr>
          <w:noProof/>
        </w:rPr>
        <w:drawing>
          <wp:inline distT="0" distB="0" distL="0" distR="0" wp14:anchorId="51D7197D" wp14:editId="7DA8D9CC">
            <wp:extent cx="6023610" cy="3225165"/>
            <wp:effectExtent l="0" t="0" r="0" b="0"/>
            <wp:docPr id="9" name="Picture 9" descr="Chart 1.2: Capital expenditure by Outcome 2020-21 (dolla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6023610" cy="3225165"/>
                    </a:xfrm>
                    <a:prstGeom prst="rect">
                      <a:avLst/>
                    </a:prstGeom>
                  </pic:spPr>
                </pic:pic>
              </a:graphicData>
            </a:graphic>
          </wp:inline>
        </w:drawing>
      </w:r>
      <w:r w:rsidR="005B3240">
        <w:br w:type="page"/>
      </w:r>
    </w:p>
    <w:p w14:paraId="7201413D" w14:textId="4DBD5DEA" w:rsidR="004417C2" w:rsidRDefault="00C96286" w:rsidP="00273078">
      <w:pPr>
        <w:pStyle w:val="Heading2"/>
      </w:pPr>
      <w:r>
        <w:t xml:space="preserve">Outcome 1: </w:t>
      </w:r>
      <w:r w:rsidR="00A03D83">
        <w:t xml:space="preserve">Excellence in </w:t>
      </w:r>
      <w:r w:rsidR="004417C2">
        <w:t>Customer Service</w:t>
      </w:r>
    </w:p>
    <w:p w14:paraId="01FB7DEE" w14:textId="77777777" w:rsidR="004417C2" w:rsidRPr="003A0DAC" w:rsidRDefault="004417C2" w:rsidP="00F319BB">
      <w:pPr>
        <w:pStyle w:val="Heading3"/>
        <w:spacing w:before="240" w:after="100"/>
        <w:rPr>
          <w:rFonts w:ascii="Arial" w:hAnsi="Arial" w:cs="Arial"/>
        </w:rPr>
      </w:pPr>
      <w:r w:rsidRPr="003A0DAC">
        <w:rPr>
          <w:rFonts w:ascii="Arial" w:hAnsi="Arial" w:cs="Arial"/>
        </w:rPr>
        <w:t>State Outcome overview and 2020-21 investment</w:t>
      </w:r>
    </w:p>
    <w:tbl>
      <w:tblPr>
        <w:tblpPr w:leftFromText="180" w:rightFromText="180" w:vertAnchor="text" w:horzAnchor="margin" w:tblpXSpec="right" w:tblpY="83"/>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64249D" w:rsidRPr="00F8244B" w14:paraId="1D9FA634" w14:textId="77777777" w:rsidTr="51D91659">
        <w:trPr>
          <w:cantSplit/>
          <w:trHeight w:val="784"/>
        </w:trPr>
        <w:tc>
          <w:tcPr>
            <w:tcW w:w="1729" w:type="pct"/>
            <w:shd w:val="clear" w:color="auto" w:fill="F2F2F2" w:themeFill="background1" w:themeFillShade="F2"/>
            <w:vAlign w:val="center"/>
          </w:tcPr>
          <w:p w14:paraId="11AFACF5" w14:textId="77777777" w:rsidR="0064249D" w:rsidRPr="00F8244B" w:rsidRDefault="0064249D" w:rsidP="0064249D">
            <w:pPr>
              <w:spacing w:before="120" w:after="120"/>
              <w:rPr>
                <w:rFonts w:ascii="Arial" w:hAnsi="Arial" w:cs="Arial"/>
                <w:sz w:val="23"/>
                <w:szCs w:val="23"/>
              </w:rPr>
            </w:pPr>
            <w:r w:rsidRPr="00F8244B">
              <w:rPr>
                <w:rFonts w:ascii="Arial" w:hAnsi="Arial" w:cs="Arial"/>
                <w:noProof/>
                <w:lang w:eastAsia="en-AU"/>
              </w:rPr>
              <w:drawing>
                <wp:inline distT="0" distB="0" distL="0" distR="0" wp14:anchorId="40D671B3" wp14:editId="7DD4BCC9">
                  <wp:extent cx="518160" cy="518160"/>
                  <wp:effectExtent l="0" t="0" r="0" b="0"/>
                  <wp:docPr id="7" name="Picture 7"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1B8AEEE0" w14:textId="77777777" w:rsidR="0064249D" w:rsidRPr="000E43A6" w:rsidRDefault="0064249D" w:rsidP="0064249D">
            <w:pPr>
              <w:spacing w:before="120" w:after="120"/>
              <w:jc w:val="center"/>
              <w:rPr>
                <w:rFonts w:ascii="Arial" w:hAnsi="Arial" w:cs="Arial"/>
                <w:color w:val="00ABE6"/>
                <w:sz w:val="18"/>
                <w:szCs w:val="18"/>
              </w:rPr>
            </w:pPr>
            <w:r w:rsidRPr="000E43A6">
              <w:rPr>
                <w:rFonts w:ascii="Arial" w:hAnsi="Arial" w:cs="Arial"/>
                <w:color w:val="00ABE6"/>
                <w:sz w:val="18"/>
                <w:szCs w:val="18"/>
              </w:rPr>
              <w:t>$1.2 billion</w:t>
            </w:r>
          </w:p>
        </w:tc>
        <w:tc>
          <w:tcPr>
            <w:tcW w:w="1809" w:type="pct"/>
            <w:shd w:val="clear" w:color="auto" w:fill="F2F2F2" w:themeFill="background1" w:themeFillShade="F2"/>
            <w:vAlign w:val="center"/>
          </w:tcPr>
          <w:p w14:paraId="3BFABFDF" w14:textId="77777777" w:rsidR="0064249D" w:rsidRPr="00F8244B" w:rsidRDefault="0064249D" w:rsidP="0064249D">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64249D" w:rsidRPr="00F8244B" w14:paraId="52A28BB5" w14:textId="77777777" w:rsidTr="51D91659">
        <w:trPr>
          <w:cantSplit/>
          <w:trHeight w:val="784"/>
        </w:trPr>
        <w:tc>
          <w:tcPr>
            <w:tcW w:w="1729" w:type="pct"/>
            <w:shd w:val="clear" w:color="auto" w:fill="F2F2F2" w:themeFill="background1" w:themeFillShade="F2"/>
            <w:vAlign w:val="center"/>
          </w:tcPr>
          <w:p w14:paraId="10B7EAB7" w14:textId="77777777" w:rsidR="0064249D" w:rsidRPr="00F8244B" w:rsidRDefault="0064249D" w:rsidP="0064249D">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655B6646" wp14:editId="7E6F83FC">
                  <wp:extent cx="525145" cy="525145"/>
                  <wp:effectExtent l="0" t="0" r="8255" b="8255"/>
                  <wp:docPr id="8" name="Picture 8"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7AB42F71" w14:textId="223D938C" w:rsidR="0064249D" w:rsidRPr="000E43A6" w:rsidRDefault="0064249D" w:rsidP="0064249D">
            <w:pPr>
              <w:spacing w:before="120" w:after="120"/>
              <w:jc w:val="center"/>
              <w:rPr>
                <w:rFonts w:ascii="Arial" w:hAnsi="Arial" w:cs="Arial"/>
                <w:color w:val="00ABE6"/>
                <w:sz w:val="18"/>
                <w:szCs w:val="18"/>
              </w:rPr>
            </w:pPr>
            <w:r w:rsidRPr="000E43A6">
              <w:rPr>
                <w:rFonts w:ascii="Arial" w:hAnsi="Arial" w:cs="Arial"/>
                <w:color w:val="00ABE6"/>
                <w:sz w:val="18"/>
                <w:szCs w:val="18"/>
              </w:rPr>
              <w:t>$1</w:t>
            </w:r>
            <w:r w:rsidR="00051731" w:rsidRPr="000E43A6">
              <w:rPr>
                <w:rFonts w:ascii="Arial" w:hAnsi="Arial" w:cs="Arial"/>
                <w:color w:val="00ABE6"/>
                <w:sz w:val="18"/>
                <w:szCs w:val="18"/>
              </w:rPr>
              <w:t>75.</w:t>
            </w:r>
            <w:r w:rsidR="00DC1650" w:rsidRPr="000E43A6">
              <w:rPr>
                <w:rFonts w:ascii="Arial" w:hAnsi="Arial" w:cs="Arial"/>
                <w:color w:val="00ABE6"/>
                <w:sz w:val="18"/>
                <w:szCs w:val="18"/>
              </w:rPr>
              <w:t>0</w:t>
            </w:r>
            <w:r w:rsidRPr="000E43A6">
              <w:rPr>
                <w:rFonts w:ascii="Arial" w:hAnsi="Arial" w:cs="Arial"/>
                <w:color w:val="00ABE6"/>
                <w:sz w:val="18"/>
                <w:szCs w:val="18"/>
              </w:rPr>
              <w:t xml:space="preserve"> million</w:t>
            </w:r>
          </w:p>
        </w:tc>
        <w:tc>
          <w:tcPr>
            <w:tcW w:w="1809" w:type="pct"/>
            <w:shd w:val="clear" w:color="auto" w:fill="F2F2F2" w:themeFill="background1" w:themeFillShade="F2"/>
            <w:vAlign w:val="center"/>
          </w:tcPr>
          <w:p w14:paraId="6D8CEE65" w14:textId="77777777" w:rsidR="0064249D" w:rsidRPr="00F8244B" w:rsidRDefault="0064249D" w:rsidP="0064249D">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08C8BE57" w14:textId="712B392E" w:rsidR="00C52CA5" w:rsidRDefault="00182F87" w:rsidP="00F01446">
      <w:pPr>
        <w:pStyle w:val="BodyText"/>
        <w:rPr>
          <w:b/>
        </w:rPr>
      </w:pPr>
      <w:r w:rsidRPr="00182F87">
        <w:t xml:space="preserve">This Outcome focuses the </w:t>
      </w:r>
      <w:r w:rsidR="001E1D67">
        <w:t>C</w:t>
      </w:r>
      <w:r w:rsidRPr="00182F87">
        <w:t xml:space="preserve">luster’s efforts and investment towards delivering a customer-centred approach in everything it does, resulting in better experiences and easier transactions for its customers and the communities, irrespective of who or where they are, or what services they want. This Outcome is measured by the availability of digital transactions, customer satisfaction with government services, and the number of services where customers only need to “Tell us Once’. </w:t>
      </w:r>
    </w:p>
    <w:p w14:paraId="03A58A1F" w14:textId="68F45CB3" w:rsidR="00F3787C" w:rsidRPr="00F3787C" w:rsidRDefault="004417C2" w:rsidP="00273078">
      <w:pPr>
        <w:pStyle w:val="Heading3"/>
      </w:pPr>
      <w:r w:rsidRPr="000101AC">
        <w:t xml:space="preserve">2020-21 </w:t>
      </w:r>
      <w:r w:rsidR="00C96286" w:rsidRPr="00273078">
        <w:t>State</w:t>
      </w:r>
      <w:r w:rsidR="00C96286">
        <w:t xml:space="preserve"> Outcome </w:t>
      </w:r>
      <w:r w:rsidRPr="000101AC">
        <w:t xml:space="preserve">Budget </w:t>
      </w:r>
      <w:r w:rsidR="008432D2">
        <w:t>h</w:t>
      </w:r>
      <w:r w:rsidRPr="000101AC">
        <w:t xml:space="preserve">ighlights </w:t>
      </w:r>
    </w:p>
    <w:p w14:paraId="0CFFBABC" w14:textId="53DBA0CC" w:rsidR="004417C2" w:rsidRPr="008D3DAB" w:rsidRDefault="004417C2" w:rsidP="00F01446">
      <w:pPr>
        <w:pStyle w:val="BodyText"/>
      </w:pPr>
      <w:r w:rsidRPr="008D3DAB">
        <w:t xml:space="preserve">In 2020-21, the </w:t>
      </w:r>
      <w:r w:rsidRPr="00E42208">
        <w:t xml:space="preserve">Customer Service </w:t>
      </w:r>
      <w:r w:rsidR="00754F71">
        <w:t>C</w:t>
      </w:r>
      <w:r w:rsidRPr="00E42208">
        <w:t>luster will invest $</w:t>
      </w:r>
      <w:r w:rsidR="002E1EAE" w:rsidRPr="00E42208">
        <w:t>1</w:t>
      </w:r>
      <w:r w:rsidR="00D25FDD" w:rsidRPr="00E42208">
        <w:t>.</w:t>
      </w:r>
      <w:r w:rsidR="00916424" w:rsidRPr="00E42208">
        <w:t>4</w:t>
      </w:r>
      <w:r w:rsidRPr="00E42208">
        <w:t xml:space="preserve"> billion ($</w:t>
      </w:r>
      <w:r w:rsidR="0050227E" w:rsidRPr="00E42208">
        <w:t>1.2</w:t>
      </w:r>
      <w:r w:rsidRPr="00E42208">
        <w:t xml:space="preserve"> billion recurrent expenses and $</w:t>
      </w:r>
      <w:r w:rsidR="0050227E" w:rsidRPr="00E42208">
        <w:t>1</w:t>
      </w:r>
      <w:r w:rsidR="00C74048" w:rsidRPr="00E42208">
        <w:t>75.0</w:t>
      </w:r>
      <w:r w:rsidRPr="00E42208">
        <w:t xml:space="preserve"> million capital expenditure) </w:t>
      </w:r>
      <w:r w:rsidR="00E61B67" w:rsidRPr="00E42208">
        <w:t>i</w:t>
      </w:r>
      <w:r w:rsidRPr="00E42208">
        <w:t xml:space="preserve">n </w:t>
      </w:r>
      <w:r w:rsidR="00DA659A" w:rsidRPr="00E42208">
        <w:t xml:space="preserve">this </w:t>
      </w:r>
      <w:r w:rsidR="008432D2">
        <w:t>O</w:t>
      </w:r>
      <w:r w:rsidR="00DA659A" w:rsidRPr="00E42208">
        <w:t>utcome</w:t>
      </w:r>
      <w:r w:rsidRPr="00E42208">
        <w:t>, including</w:t>
      </w:r>
      <w:r w:rsidR="0007224F" w:rsidRPr="00E42208">
        <w:t>:</w:t>
      </w:r>
    </w:p>
    <w:p w14:paraId="048BCB3D" w14:textId="7B534E66" w:rsidR="00DC6CEC" w:rsidRDefault="55C46CEF" w:rsidP="00F01446">
      <w:pPr>
        <w:pStyle w:val="Bullet1"/>
        <w:rPr>
          <w:rFonts w:asciiTheme="minorHAnsi" w:eastAsiaTheme="minorEastAsia" w:hAnsiTheme="minorHAnsi" w:cstheme="minorBidi"/>
        </w:rPr>
      </w:pPr>
      <w:r>
        <w:t>$</w:t>
      </w:r>
      <w:r w:rsidR="00837862">
        <w:t>102.9</w:t>
      </w:r>
      <w:r>
        <w:t xml:space="preserve"> million to add 1,000 staff in Service NSW to support projects and expand the capacity of Service NSW </w:t>
      </w:r>
      <w:r w:rsidR="494C9671" w:rsidRPr="51D91659">
        <w:rPr>
          <w:rFonts w:eastAsia="Arial"/>
        </w:rPr>
        <w:t>frontline services to respond to increased customer demand and changing customer needs during COVID-19</w:t>
      </w:r>
      <w:r w:rsidR="494C9671">
        <w:t xml:space="preserve"> </w:t>
      </w:r>
    </w:p>
    <w:p w14:paraId="4162C26C" w14:textId="77777777" w:rsidR="009366C1" w:rsidRPr="00026F52" w:rsidRDefault="009366C1" w:rsidP="00F01446">
      <w:pPr>
        <w:pStyle w:val="Bullet1"/>
        <w:rPr>
          <w:rFonts w:asciiTheme="minorHAnsi" w:eastAsiaTheme="minorEastAsia" w:hAnsiTheme="minorHAnsi" w:cstheme="minorBidi"/>
        </w:rPr>
      </w:pPr>
      <w:r>
        <w:t>$50.0 million ($200.0 million over four years) to further support Service NSW as it increases the number of services offered through its one-stop shop model across the state, matching increased customer demand particularly in the digital channel with Service NSW the lead agency in delivery of Covid-19 support measures for both individuals and business</w:t>
      </w:r>
    </w:p>
    <w:p w14:paraId="4CC022A6" w14:textId="20725852" w:rsidR="005F119E" w:rsidRPr="00026F52" w:rsidRDefault="005F119E" w:rsidP="00F01446">
      <w:pPr>
        <w:pStyle w:val="Bullet1"/>
      </w:pPr>
      <w:r>
        <w:t>$26</w:t>
      </w:r>
      <w:r w:rsidR="000E7049">
        <w:t>.0</w:t>
      </w:r>
      <w:r>
        <w:t xml:space="preserve"> million ($51</w:t>
      </w:r>
      <w:r w:rsidR="000E7049">
        <w:t>.0</w:t>
      </w:r>
      <w:r>
        <w:t xml:space="preserve"> million over two years) for the Business Concierge service as part of the </w:t>
      </w:r>
      <w:r w:rsidRPr="00026F52">
        <w:t>Easy To Do Business Program</w:t>
      </w:r>
      <w:r>
        <w:t xml:space="preserve"> to support businesses with specialist advice and provide a one-stop</w:t>
      </w:r>
      <w:r w:rsidR="00FF6D06">
        <w:t>-</w:t>
      </w:r>
      <w:r>
        <w:t>shop for meeting regulatory requirements</w:t>
      </w:r>
    </w:p>
    <w:p w14:paraId="65C50C54" w14:textId="31719D88" w:rsidR="004857EB" w:rsidRDefault="79CE6F53" w:rsidP="00F01446">
      <w:pPr>
        <w:pStyle w:val="Bullet1"/>
        <w:rPr>
          <w:rFonts w:asciiTheme="minorHAnsi" w:eastAsiaTheme="minorEastAsia" w:hAnsiTheme="minorHAnsi" w:cstheme="minorBidi"/>
        </w:rPr>
      </w:pPr>
      <w:r>
        <w:t xml:space="preserve">$13.6 million ($17.5 million expenses over two years) for the </w:t>
      </w:r>
      <w:r w:rsidR="00275BD6" w:rsidRPr="51D91659">
        <w:rPr>
          <w:i/>
          <w:iCs/>
        </w:rPr>
        <w:t xml:space="preserve">Assured </w:t>
      </w:r>
      <w:r w:rsidRPr="51D91659">
        <w:rPr>
          <w:i/>
          <w:iCs/>
        </w:rPr>
        <w:t xml:space="preserve">Revenue </w:t>
      </w:r>
      <w:r w:rsidR="00D50A5F" w:rsidRPr="51D91659">
        <w:rPr>
          <w:i/>
          <w:iCs/>
        </w:rPr>
        <w:t>P</w:t>
      </w:r>
      <w:r w:rsidRPr="51D91659">
        <w:rPr>
          <w:i/>
          <w:iCs/>
        </w:rPr>
        <w:t>rogram</w:t>
      </w:r>
      <w:r>
        <w:t xml:space="preserve"> which will deliver transformational improvements in customer experience, with seamless integration with Service NSW for taxes and fines, making it easier for our customers to comply with their obligations </w:t>
      </w:r>
    </w:p>
    <w:p w14:paraId="44AD4B12" w14:textId="2FA0FEEA" w:rsidR="000D1EC8" w:rsidRDefault="36F639B7" w:rsidP="00F01446">
      <w:pPr>
        <w:pStyle w:val="Bullet1"/>
        <w:rPr>
          <w:rFonts w:asciiTheme="minorHAnsi" w:eastAsiaTheme="minorEastAsia" w:hAnsiTheme="minorHAnsi" w:cstheme="minorBidi"/>
        </w:rPr>
      </w:pPr>
      <w:r>
        <w:t>$8.</w:t>
      </w:r>
      <w:r w:rsidR="0F004479">
        <w:t>6</w:t>
      </w:r>
      <w:r>
        <w:t xml:space="preserve"> million ($14.9 million capital and $</w:t>
      </w:r>
      <w:r w:rsidR="00E178F6">
        <w:t>55.3</w:t>
      </w:r>
      <w:r>
        <w:t xml:space="preserve"> million expenses over four years) for the opening of four new Service centres in 2020-21 as part of the 10 New Services Centres election commitment</w:t>
      </w:r>
      <w:r w:rsidR="00FF6D06">
        <w:t>,</w:t>
      </w:r>
      <w:r>
        <w:t xml:space="preserve"> which will provide greater access for customers to government service</w:t>
      </w:r>
      <w:r w:rsidR="00001848">
        <w:t>s</w:t>
      </w:r>
      <w:r>
        <w:t xml:space="preserve"> and enhance service delivery and service offering to meet future needs</w:t>
      </w:r>
    </w:p>
    <w:p w14:paraId="0ADF430F" w14:textId="78E442FC" w:rsidR="000D1EC8" w:rsidRDefault="36F639B7" w:rsidP="00F01446">
      <w:pPr>
        <w:pStyle w:val="Bullet1"/>
        <w:rPr>
          <w:rFonts w:asciiTheme="minorHAnsi" w:eastAsiaTheme="minorEastAsia" w:hAnsiTheme="minorHAnsi" w:cstheme="minorBidi"/>
        </w:rPr>
      </w:pPr>
      <w:r>
        <w:t>$3.8 million ($</w:t>
      </w:r>
      <w:r w:rsidRPr="51D91659">
        <w:rPr>
          <w:rFonts w:eastAsia="Arial"/>
          <w:color w:val="000000" w:themeColor="text1"/>
        </w:rPr>
        <w:t>7</w:t>
      </w:r>
      <w:r w:rsidR="12624813" w:rsidRPr="51D91659">
        <w:rPr>
          <w:rFonts w:eastAsia="Arial"/>
          <w:color w:val="000000" w:themeColor="text1"/>
        </w:rPr>
        <w:t>.8</w:t>
      </w:r>
      <w:r w:rsidRPr="51D91659">
        <w:rPr>
          <w:rFonts w:eastAsia="Arial"/>
          <w:color w:val="000000" w:themeColor="text1"/>
        </w:rPr>
        <w:t xml:space="preserve"> </w:t>
      </w:r>
      <w:r>
        <w:t xml:space="preserve">million expenses over </w:t>
      </w:r>
      <w:r w:rsidR="1B9E73F4">
        <w:t>two</w:t>
      </w:r>
      <w:r>
        <w:t xml:space="preserve"> years) to continue the operation of Mobile Service Centres in regional NSW to provide increased presence to </w:t>
      </w:r>
      <w:r w:rsidR="00C55489">
        <w:t>r</w:t>
      </w:r>
      <w:r>
        <w:t xml:space="preserve">ural &amp; </w:t>
      </w:r>
      <w:r w:rsidR="00C55489">
        <w:t>r</w:t>
      </w:r>
      <w:r>
        <w:t xml:space="preserve">egional </w:t>
      </w:r>
      <w:r w:rsidR="00C55489">
        <w:t>c</w:t>
      </w:r>
      <w:r>
        <w:t>ommunities across N</w:t>
      </w:r>
      <w:r w:rsidR="00F64248">
        <w:t xml:space="preserve">ew </w:t>
      </w:r>
      <w:r>
        <w:t>S</w:t>
      </w:r>
      <w:r w:rsidR="00F64248">
        <w:t xml:space="preserve">outh </w:t>
      </w:r>
      <w:r>
        <w:t>W</w:t>
      </w:r>
      <w:r w:rsidR="00F64248">
        <w:t>ales</w:t>
      </w:r>
      <w:r>
        <w:t xml:space="preserve"> who are unable to access many </w:t>
      </w:r>
      <w:r w:rsidR="00C55489">
        <w:t>g</w:t>
      </w:r>
      <w:r>
        <w:t>overnment services</w:t>
      </w:r>
    </w:p>
    <w:p w14:paraId="5B4A8480" w14:textId="4A866901" w:rsidR="776080B6" w:rsidRDefault="0092721F" w:rsidP="00F01446">
      <w:pPr>
        <w:pStyle w:val="Bullet1"/>
      </w:pPr>
      <w:r>
        <w:t>i</w:t>
      </w:r>
      <w:r w:rsidR="00DC6CEC">
        <w:t xml:space="preserve">mproving customer interactions through the </w:t>
      </w:r>
      <w:r w:rsidR="00DC6CEC" w:rsidRPr="51D91659">
        <w:rPr>
          <w:i/>
          <w:iCs/>
        </w:rPr>
        <w:t>Government Made Easy Premier’s Priority</w:t>
      </w:r>
      <w:r w:rsidR="00DC6CEC">
        <w:t xml:space="preserve">, allowing customers to opt in to sharing their information across government so they only </w:t>
      </w:r>
      <w:r w:rsidR="00DE670A">
        <w:t>need to tell us</w:t>
      </w:r>
      <w:r w:rsidR="00C55489">
        <w:t xml:space="preserve"> once</w:t>
      </w:r>
      <w:r w:rsidR="00DE670A">
        <w:t xml:space="preserve"> about them</w:t>
      </w:r>
      <w:r w:rsidR="00DC6CEC">
        <w:t>, when things change, and when they need help</w:t>
      </w:r>
      <w:r w:rsidR="00213F2F">
        <w:t>.</w:t>
      </w:r>
      <w:r w:rsidR="00DC6CEC">
        <w:t xml:space="preserve"> </w:t>
      </w:r>
    </w:p>
    <w:p w14:paraId="1374DAF2" w14:textId="77777777" w:rsidR="007723F1" w:rsidRDefault="007723F1">
      <w:pPr>
        <w:rPr>
          <w:rFonts w:ascii="Arial" w:eastAsia="Times New Roman" w:hAnsi="Arial" w:cs="Arial"/>
          <w:b/>
          <w:kern w:val="28"/>
          <w:sz w:val="27"/>
          <w:szCs w:val="36"/>
        </w:rPr>
      </w:pPr>
      <w:r>
        <w:rPr>
          <w:rFonts w:ascii="Arial" w:hAnsi="Arial" w:cs="Arial"/>
        </w:rPr>
        <w:br w:type="page"/>
      </w:r>
    </w:p>
    <w:p w14:paraId="1AB12CBE" w14:textId="77777777" w:rsidR="004417C2" w:rsidRPr="00DC6435" w:rsidRDefault="004417C2" w:rsidP="00273078">
      <w:pPr>
        <w:pStyle w:val="Heading3"/>
      </w:pPr>
      <w:r w:rsidRPr="00DC6435">
        <w:t xml:space="preserve">Key performance </w:t>
      </w:r>
      <w:r w:rsidRPr="00273078">
        <w:t>insights</w:t>
      </w:r>
      <w:r w:rsidRPr="00DC6435">
        <w:t xml:space="preserve"> </w:t>
      </w:r>
    </w:p>
    <w:p w14:paraId="0A2774E7" w14:textId="77777777" w:rsidR="001508A2" w:rsidRPr="00851A0D" w:rsidRDefault="001508A2" w:rsidP="00F01446">
      <w:pPr>
        <w:pStyle w:val="BodyText"/>
      </w:pPr>
      <w:r w:rsidRPr="001E24D5">
        <w:t xml:space="preserve">This section provides analysis and insights on key Outcome Indicators for this State Outcome. </w:t>
      </w:r>
    </w:p>
    <w:p w14:paraId="03DDB317" w14:textId="6790F917" w:rsidR="003F76A4" w:rsidRPr="002C4313" w:rsidRDefault="0007224F" w:rsidP="008B7B01">
      <w:pPr>
        <w:pStyle w:val="Heading4"/>
        <w:spacing w:before="80"/>
      </w:pPr>
      <w:r w:rsidRPr="002C4313">
        <w:t>Increase the number of government services where customers only have to "Tell government once"</w:t>
      </w:r>
    </w:p>
    <w:p w14:paraId="582E6612" w14:textId="25AFBCC3" w:rsidR="00864E67" w:rsidRPr="00864E67" w:rsidRDefault="00864E67" w:rsidP="00F01446">
      <w:pPr>
        <w:pStyle w:val="BodyText"/>
      </w:pPr>
      <w:r w:rsidRPr="00A1740F">
        <w:rPr>
          <w:i/>
        </w:rPr>
        <w:t>Government Made Easy</w:t>
      </w:r>
      <w:r w:rsidRPr="00864E67">
        <w:t xml:space="preserve"> means customers can choose to reuse their personal details to reduce customer time and effort in accessing services and </w:t>
      </w:r>
      <w:r w:rsidR="13C80186" w:rsidRPr="48026D8F">
        <w:t>to</w:t>
      </w:r>
      <w:r w:rsidR="609AEE15" w:rsidRPr="48026D8F">
        <w:t xml:space="preserve"> </w:t>
      </w:r>
      <w:r w:rsidRPr="00864E67">
        <w:t>improve customer outcomes:</w:t>
      </w:r>
    </w:p>
    <w:p w14:paraId="070E92AA" w14:textId="54AE6375" w:rsidR="00864E67" w:rsidRPr="003F76A4" w:rsidRDefault="00864E67" w:rsidP="00F01446">
      <w:pPr>
        <w:pStyle w:val="Bullet1"/>
      </w:pPr>
      <w:r>
        <w:t xml:space="preserve">for everyday transactional services, customer details can be pre-filled in forms, for example applying for </w:t>
      </w:r>
      <w:r w:rsidRPr="51D91659">
        <w:rPr>
          <w:i/>
          <w:iCs/>
        </w:rPr>
        <w:t>Active Kids</w:t>
      </w:r>
      <w:r>
        <w:t xml:space="preserve"> and </w:t>
      </w:r>
      <w:r w:rsidRPr="51D91659">
        <w:rPr>
          <w:i/>
          <w:iCs/>
        </w:rPr>
        <w:t>Creative Kids</w:t>
      </w:r>
      <w:r>
        <w:t xml:space="preserve"> vouchers using a </w:t>
      </w:r>
      <w:proofErr w:type="spellStart"/>
      <w:r>
        <w:t>MyServiceNSW</w:t>
      </w:r>
      <w:proofErr w:type="spellEnd"/>
      <w:r>
        <w:t xml:space="preserve"> account</w:t>
      </w:r>
    </w:p>
    <w:p w14:paraId="551D3A3B" w14:textId="412A5885" w:rsidR="00864E67" w:rsidRPr="00A1740F" w:rsidRDefault="00864E67" w:rsidP="00F01446">
      <w:pPr>
        <w:pStyle w:val="Bullet1"/>
        <w:rPr>
          <w:i/>
          <w:iCs/>
        </w:rPr>
      </w:pPr>
      <w:r>
        <w:t xml:space="preserve">when things change in customers’ lives, multiple agencies can be notified in one step, for example a single notification on the death of a loved one through the </w:t>
      </w:r>
      <w:r w:rsidRPr="51D91659">
        <w:rPr>
          <w:i/>
          <w:iCs/>
        </w:rPr>
        <w:t>Australian Death Notification Service</w:t>
      </w:r>
    </w:p>
    <w:p w14:paraId="5D4FC54B" w14:textId="49D091CC" w:rsidR="00864E67" w:rsidRPr="003F76A4" w:rsidRDefault="00864E67" w:rsidP="00F01446">
      <w:pPr>
        <w:pStyle w:val="Bullet1"/>
      </w:pPr>
      <w:r>
        <w:t xml:space="preserve">in more complex situations, sensitive information can be shared with customer consent between agencies, for example the </w:t>
      </w:r>
      <w:r w:rsidR="00835714">
        <w:t>b</w:t>
      </w:r>
      <w:r>
        <w:t>ushfire customer care model.</w:t>
      </w:r>
    </w:p>
    <w:p w14:paraId="0256CE50" w14:textId="2CB88DAD" w:rsidR="0007224F" w:rsidRPr="0007224F" w:rsidRDefault="009C11AE" w:rsidP="00F01446">
      <w:pPr>
        <w:pStyle w:val="BodyText"/>
      </w:pPr>
      <w:r>
        <w:t xml:space="preserve">Performance against this indicator is well on track to </w:t>
      </w:r>
      <w:r w:rsidR="006A24F8">
        <w:t xml:space="preserve">significantly </w:t>
      </w:r>
      <w:r w:rsidR="00C57D1E">
        <w:t>exceed</w:t>
      </w:r>
      <w:r>
        <w:t xml:space="preserve"> the target of 60 services by June 2023, with </w:t>
      </w:r>
      <w:r w:rsidR="00981F1D">
        <w:t xml:space="preserve">25 </w:t>
      </w:r>
      <w:r w:rsidR="00864E67" w:rsidRPr="00864E67">
        <w:t xml:space="preserve">services delivered </w:t>
      </w:r>
      <w:r w:rsidR="007C7D88">
        <w:t xml:space="preserve">as </w:t>
      </w:r>
      <w:r w:rsidR="00864E67" w:rsidRPr="00864E67">
        <w:t>at 30 June 2020</w:t>
      </w:r>
      <w:r>
        <w:t>.</w:t>
      </w:r>
    </w:p>
    <w:p w14:paraId="74D9C65C" w14:textId="690BF26B" w:rsidR="00F1480D" w:rsidRPr="008A626B" w:rsidRDefault="00F1480D" w:rsidP="00273078">
      <w:pPr>
        <w:pStyle w:val="Chart1X"/>
        <w:ind w:left="1276" w:hanging="1276"/>
        <w:rPr>
          <w:lang w:eastAsia="en-AU"/>
        </w:rPr>
      </w:pPr>
      <w:r>
        <w:rPr>
          <w:lang w:eastAsia="en-AU"/>
        </w:rPr>
        <w:t>N</w:t>
      </w:r>
      <w:r w:rsidRPr="008A626B">
        <w:rPr>
          <w:lang w:eastAsia="en-AU"/>
        </w:rPr>
        <w:t>umber of government services where customers only have to "Tell government once"</w:t>
      </w:r>
    </w:p>
    <w:p w14:paraId="1ADB7E1B" w14:textId="62DA7B79" w:rsidR="009F4D87" w:rsidRDefault="000F1DF5" w:rsidP="00273078">
      <w:pPr>
        <w:pStyle w:val="Heading4"/>
        <w:spacing w:before="160"/>
        <w:jc w:val="center"/>
        <w:rPr>
          <w:rFonts w:cs="Arial"/>
          <w:color w:val="002060"/>
          <w:kern w:val="0"/>
          <w:sz w:val="23"/>
          <w:szCs w:val="23"/>
        </w:rPr>
      </w:pPr>
      <w:r>
        <w:rPr>
          <w:noProof/>
          <w:lang w:eastAsia="en-AU"/>
        </w:rPr>
        <w:drawing>
          <wp:inline distT="0" distB="0" distL="0" distR="0" wp14:anchorId="72BFC22C" wp14:editId="01DB13DD">
            <wp:extent cx="4749800" cy="2197100"/>
            <wp:effectExtent l="0" t="0" r="0" b="0"/>
            <wp:docPr id="16" name="Chart 16" descr="Chart 1.3: Number of government services where customers only have to &quot;Tell government once&quot;">
              <a:extLst xmlns:a="http://schemas.openxmlformats.org/drawingml/2006/main">
                <a:ext uri="{FF2B5EF4-FFF2-40B4-BE49-F238E27FC236}">
                  <a16:creationId xmlns:a16="http://schemas.microsoft.com/office/drawing/2014/main" id="{FC3F2CB0-8D0D-406E-BD42-0DED7C9BE7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7DB5FC" w14:textId="02A0F65B" w:rsidR="00663A79" w:rsidRPr="00993D23" w:rsidRDefault="0007224F" w:rsidP="00273078">
      <w:pPr>
        <w:pStyle w:val="Heading4"/>
      </w:pPr>
      <w:r w:rsidRPr="00993D23">
        <w:t xml:space="preserve">Percentage of </w:t>
      </w:r>
      <w:r w:rsidRPr="00273078">
        <w:t>transactions</w:t>
      </w:r>
      <w:r w:rsidRPr="00993D23">
        <w:t xml:space="preserve"> available digitally through Service NSW</w:t>
      </w:r>
    </w:p>
    <w:p w14:paraId="29C3853B" w14:textId="46C8002F" w:rsidR="00663A79" w:rsidRPr="00663A79" w:rsidRDefault="0007224F" w:rsidP="00663A79">
      <w:pPr>
        <w:autoSpaceDE w:val="0"/>
        <w:autoSpaceDN w:val="0"/>
        <w:adjustRightInd w:val="0"/>
        <w:rPr>
          <w:rFonts w:ascii="Arial" w:hAnsi="Arial" w:cs="Arial"/>
          <w:sz w:val="23"/>
          <w:szCs w:val="23"/>
        </w:rPr>
      </w:pPr>
      <w:r w:rsidRPr="0007224F">
        <w:rPr>
          <w:rFonts w:ascii="Arial" w:hAnsi="Arial" w:cs="Arial"/>
          <w:sz w:val="23"/>
          <w:szCs w:val="23"/>
        </w:rPr>
        <w:t xml:space="preserve">Service NSW </w:t>
      </w:r>
      <w:r w:rsidR="00663A79" w:rsidRPr="00663A79">
        <w:rPr>
          <w:rFonts w:ascii="Arial" w:hAnsi="Arial" w:cs="Arial"/>
          <w:sz w:val="23"/>
          <w:szCs w:val="23"/>
        </w:rPr>
        <w:t>is committed to excellence in customer service and continues</w:t>
      </w:r>
      <w:r w:rsidRPr="0007224F">
        <w:rPr>
          <w:rFonts w:ascii="Arial" w:hAnsi="Arial" w:cs="Arial"/>
          <w:sz w:val="23"/>
          <w:szCs w:val="23"/>
        </w:rPr>
        <w:t xml:space="preserve"> to improve access to </w:t>
      </w:r>
      <w:r w:rsidR="00711E67">
        <w:rPr>
          <w:rFonts w:ascii="Arial" w:hAnsi="Arial" w:cs="Arial"/>
          <w:sz w:val="23"/>
          <w:szCs w:val="23"/>
        </w:rPr>
        <w:t>g</w:t>
      </w:r>
      <w:r w:rsidRPr="0007224F">
        <w:rPr>
          <w:rFonts w:ascii="Arial" w:hAnsi="Arial" w:cs="Arial"/>
          <w:sz w:val="23"/>
          <w:szCs w:val="23"/>
        </w:rPr>
        <w:t xml:space="preserve">overnment services by making more services available online. </w:t>
      </w:r>
      <w:r w:rsidR="00F21EC9">
        <w:rPr>
          <w:rFonts w:ascii="Arial" w:hAnsi="Arial" w:cs="Arial"/>
          <w:sz w:val="23"/>
          <w:szCs w:val="23"/>
        </w:rPr>
        <w:t xml:space="preserve">Performance against this indicator is increasing and </w:t>
      </w:r>
      <w:r w:rsidR="005D259F">
        <w:rPr>
          <w:rFonts w:ascii="Arial" w:hAnsi="Arial" w:cs="Arial"/>
          <w:sz w:val="23"/>
          <w:szCs w:val="23"/>
        </w:rPr>
        <w:t xml:space="preserve">is expected </w:t>
      </w:r>
      <w:r w:rsidR="00DF2660">
        <w:rPr>
          <w:rFonts w:ascii="Arial" w:hAnsi="Arial" w:cs="Arial"/>
          <w:sz w:val="23"/>
          <w:szCs w:val="23"/>
        </w:rPr>
        <w:t xml:space="preserve">to achieve </w:t>
      </w:r>
      <w:r w:rsidR="004C6580">
        <w:rPr>
          <w:rFonts w:ascii="Arial" w:hAnsi="Arial" w:cs="Arial"/>
          <w:sz w:val="23"/>
          <w:szCs w:val="23"/>
        </w:rPr>
        <w:t xml:space="preserve">the </w:t>
      </w:r>
      <w:r w:rsidR="00663A79" w:rsidRPr="00663A79">
        <w:rPr>
          <w:rFonts w:ascii="Arial" w:hAnsi="Arial" w:cs="Arial"/>
          <w:sz w:val="23"/>
          <w:szCs w:val="23"/>
        </w:rPr>
        <w:t>ambitious target of making 80</w:t>
      </w:r>
      <w:r w:rsidR="00332043">
        <w:rPr>
          <w:rFonts w:ascii="Arial" w:hAnsi="Arial" w:cs="Arial"/>
          <w:sz w:val="23"/>
          <w:szCs w:val="23"/>
        </w:rPr>
        <w:t xml:space="preserve"> per cent</w:t>
      </w:r>
      <w:r w:rsidR="00663A79" w:rsidRPr="00663A79">
        <w:rPr>
          <w:rFonts w:ascii="Arial" w:hAnsi="Arial" w:cs="Arial"/>
          <w:sz w:val="23"/>
          <w:szCs w:val="23"/>
        </w:rPr>
        <w:t xml:space="preserve"> of services available digitally by 2023</w:t>
      </w:r>
      <w:r w:rsidR="006331CD">
        <w:rPr>
          <w:rFonts w:ascii="Arial" w:hAnsi="Arial" w:cs="Arial"/>
          <w:sz w:val="23"/>
          <w:szCs w:val="23"/>
        </w:rPr>
        <w:t>-</w:t>
      </w:r>
      <w:r w:rsidR="00663A79" w:rsidRPr="00663A79">
        <w:rPr>
          <w:rFonts w:ascii="Arial" w:hAnsi="Arial" w:cs="Arial"/>
          <w:sz w:val="23"/>
          <w:szCs w:val="23"/>
        </w:rPr>
        <w:t xml:space="preserve">24. The data underpinning this </w:t>
      </w:r>
      <w:r w:rsidR="003F03EA">
        <w:rPr>
          <w:rFonts w:ascii="Arial" w:hAnsi="Arial" w:cs="Arial"/>
          <w:sz w:val="23"/>
          <w:szCs w:val="23"/>
        </w:rPr>
        <w:t>O</w:t>
      </w:r>
      <w:r w:rsidR="00663A79" w:rsidRPr="00663A79">
        <w:rPr>
          <w:rFonts w:ascii="Arial" w:hAnsi="Arial" w:cs="Arial"/>
          <w:sz w:val="23"/>
          <w:szCs w:val="23"/>
        </w:rPr>
        <w:t xml:space="preserve">utcome </w:t>
      </w:r>
      <w:r w:rsidR="00874600">
        <w:rPr>
          <w:rFonts w:ascii="Arial" w:hAnsi="Arial" w:cs="Arial"/>
          <w:sz w:val="23"/>
          <w:szCs w:val="23"/>
        </w:rPr>
        <w:t>I</w:t>
      </w:r>
      <w:r w:rsidR="00663A79" w:rsidRPr="00663A79">
        <w:rPr>
          <w:rFonts w:ascii="Arial" w:hAnsi="Arial" w:cs="Arial"/>
          <w:sz w:val="23"/>
          <w:szCs w:val="23"/>
        </w:rPr>
        <w:t>ndicator currently relates to R</w:t>
      </w:r>
      <w:r w:rsidR="006331CD">
        <w:rPr>
          <w:rFonts w:ascii="Arial" w:hAnsi="Arial" w:cs="Arial"/>
          <w:sz w:val="23"/>
          <w:szCs w:val="23"/>
        </w:rPr>
        <w:t xml:space="preserve">oads </w:t>
      </w:r>
      <w:r w:rsidR="003F03EA">
        <w:rPr>
          <w:rFonts w:ascii="Arial" w:hAnsi="Arial" w:cs="Arial"/>
          <w:sz w:val="23"/>
          <w:szCs w:val="23"/>
        </w:rPr>
        <w:t>and</w:t>
      </w:r>
      <w:r w:rsidR="006331CD">
        <w:rPr>
          <w:rFonts w:ascii="Arial" w:hAnsi="Arial" w:cs="Arial"/>
          <w:sz w:val="23"/>
          <w:szCs w:val="23"/>
        </w:rPr>
        <w:t xml:space="preserve"> </w:t>
      </w:r>
      <w:r w:rsidR="00663A79" w:rsidRPr="00663A79">
        <w:rPr>
          <w:rFonts w:ascii="Arial" w:hAnsi="Arial" w:cs="Arial"/>
          <w:sz w:val="23"/>
          <w:szCs w:val="23"/>
        </w:rPr>
        <w:t>M</w:t>
      </w:r>
      <w:r w:rsidR="006331CD">
        <w:rPr>
          <w:rFonts w:ascii="Arial" w:hAnsi="Arial" w:cs="Arial"/>
          <w:sz w:val="23"/>
          <w:szCs w:val="23"/>
        </w:rPr>
        <w:t xml:space="preserve">aritime </w:t>
      </w:r>
      <w:r w:rsidR="00663A79" w:rsidRPr="00663A79">
        <w:rPr>
          <w:rFonts w:ascii="Arial" w:hAnsi="Arial" w:cs="Arial"/>
          <w:sz w:val="23"/>
          <w:szCs w:val="23"/>
        </w:rPr>
        <w:t>S</w:t>
      </w:r>
      <w:r w:rsidR="006331CD">
        <w:rPr>
          <w:rFonts w:ascii="Arial" w:hAnsi="Arial" w:cs="Arial"/>
          <w:sz w:val="23"/>
          <w:szCs w:val="23"/>
        </w:rPr>
        <w:t>ervices</w:t>
      </w:r>
      <w:r w:rsidR="00663A79" w:rsidRPr="00663A79">
        <w:rPr>
          <w:rFonts w:ascii="Arial" w:hAnsi="Arial" w:cs="Arial"/>
          <w:sz w:val="23"/>
          <w:szCs w:val="23"/>
        </w:rPr>
        <w:t xml:space="preserve"> transactions only.</w:t>
      </w:r>
    </w:p>
    <w:p w14:paraId="1F1A08EA" w14:textId="77777777" w:rsidR="00663A79" w:rsidRDefault="00663A79" w:rsidP="00663A79">
      <w:pPr>
        <w:autoSpaceDE w:val="0"/>
        <w:autoSpaceDN w:val="0"/>
        <w:adjustRightInd w:val="0"/>
        <w:rPr>
          <w:rFonts w:ascii="Arial" w:hAnsi="Arial" w:cs="Arial"/>
          <w:sz w:val="23"/>
          <w:szCs w:val="23"/>
        </w:rPr>
      </w:pPr>
    </w:p>
    <w:p w14:paraId="1DC4DC07" w14:textId="5C8A0FB7" w:rsidR="000920BC" w:rsidRDefault="0007224F" w:rsidP="0007224F">
      <w:pPr>
        <w:autoSpaceDE w:val="0"/>
        <w:autoSpaceDN w:val="0"/>
        <w:adjustRightInd w:val="0"/>
        <w:rPr>
          <w:rFonts w:ascii="Arial" w:hAnsi="Arial" w:cs="Arial"/>
          <w:sz w:val="23"/>
          <w:szCs w:val="23"/>
        </w:rPr>
      </w:pPr>
      <w:r w:rsidRPr="0007224F">
        <w:rPr>
          <w:rFonts w:ascii="Arial" w:hAnsi="Arial" w:cs="Arial"/>
          <w:sz w:val="23"/>
          <w:szCs w:val="23"/>
        </w:rPr>
        <w:t>Customers without access to digital services by phone or from home</w:t>
      </w:r>
      <w:r w:rsidR="00663A79" w:rsidRPr="00663A79">
        <w:rPr>
          <w:rFonts w:ascii="Arial" w:hAnsi="Arial" w:cs="Arial"/>
          <w:sz w:val="23"/>
          <w:szCs w:val="23"/>
        </w:rPr>
        <w:t>,</w:t>
      </w:r>
      <w:r w:rsidRPr="0007224F">
        <w:rPr>
          <w:rFonts w:ascii="Arial" w:hAnsi="Arial" w:cs="Arial"/>
          <w:sz w:val="23"/>
          <w:szCs w:val="23"/>
        </w:rPr>
        <w:t xml:space="preserve"> or who would like support accessing digital </w:t>
      </w:r>
      <w:r w:rsidR="00663A79" w:rsidRPr="00663A79">
        <w:rPr>
          <w:rFonts w:ascii="Arial" w:hAnsi="Arial" w:cs="Arial"/>
          <w:sz w:val="23"/>
          <w:szCs w:val="23"/>
        </w:rPr>
        <w:t xml:space="preserve">services </w:t>
      </w:r>
      <w:r w:rsidRPr="0007224F">
        <w:rPr>
          <w:rFonts w:ascii="Arial" w:hAnsi="Arial" w:cs="Arial"/>
          <w:sz w:val="23"/>
          <w:szCs w:val="23"/>
        </w:rPr>
        <w:t xml:space="preserve">can visit one of 109 Service Centres around </w:t>
      </w:r>
      <w:r w:rsidR="00A47378">
        <w:rPr>
          <w:rFonts w:ascii="Arial" w:hAnsi="Arial" w:cs="Arial"/>
          <w:sz w:val="23"/>
          <w:szCs w:val="23"/>
        </w:rPr>
        <w:t>the State</w:t>
      </w:r>
      <w:r w:rsidR="00663A79" w:rsidRPr="00663A79">
        <w:rPr>
          <w:rFonts w:ascii="Arial" w:hAnsi="Arial" w:cs="Arial"/>
          <w:sz w:val="23"/>
          <w:szCs w:val="23"/>
        </w:rPr>
        <w:t>,</w:t>
      </w:r>
      <w:r w:rsidRPr="0007224F">
        <w:rPr>
          <w:rFonts w:ascii="Arial" w:hAnsi="Arial" w:cs="Arial"/>
          <w:sz w:val="23"/>
          <w:szCs w:val="23"/>
        </w:rPr>
        <w:t xml:space="preserve"> or our four </w:t>
      </w:r>
      <w:r w:rsidR="00663A79" w:rsidRPr="00663A79">
        <w:rPr>
          <w:rFonts w:ascii="Arial" w:hAnsi="Arial" w:cs="Arial"/>
          <w:sz w:val="23"/>
          <w:szCs w:val="23"/>
        </w:rPr>
        <w:t xml:space="preserve">Mobile Service Centres </w:t>
      </w:r>
      <w:r w:rsidRPr="0007224F">
        <w:rPr>
          <w:rFonts w:ascii="Arial" w:hAnsi="Arial" w:cs="Arial"/>
          <w:sz w:val="23"/>
          <w:szCs w:val="23"/>
        </w:rPr>
        <w:t xml:space="preserve">that bring services to communities across </w:t>
      </w:r>
      <w:r w:rsidR="00EC617C">
        <w:rPr>
          <w:rFonts w:ascii="Arial" w:hAnsi="Arial" w:cs="Arial"/>
          <w:sz w:val="23"/>
          <w:szCs w:val="23"/>
        </w:rPr>
        <w:t>the State</w:t>
      </w:r>
      <w:r w:rsidR="005B758C">
        <w:rPr>
          <w:rFonts w:ascii="Arial" w:hAnsi="Arial" w:cs="Arial"/>
          <w:sz w:val="23"/>
          <w:szCs w:val="23"/>
        </w:rPr>
        <w:t>.</w:t>
      </w:r>
      <w:r w:rsidRPr="0007224F">
        <w:rPr>
          <w:rFonts w:ascii="Arial" w:hAnsi="Arial" w:cs="Arial"/>
          <w:sz w:val="23"/>
          <w:szCs w:val="23"/>
        </w:rPr>
        <w:t xml:space="preserve"> All Service Centres have digital kiosks and specially trained team members who can help customers to understand and access digital services.</w:t>
      </w:r>
    </w:p>
    <w:p w14:paraId="760A6809" w14:textId="77777777" w:rsidR="004C6580" w:rsidRDefault="004C6580" w:rsidP="0007224F">
      <w:pPr>
        <w:autoSpaceDE w:val="0"/>
        <w:autoSpaceDN w:val="0"/>
        <w:adjustRightInd w:val="0"/>
        <w:rPr>
          <w:rFonts w:ascii="Arial" w:hAnsi="Arial" w:cs="Arial"/>
          <w:sz w:val="23"/>
          <w:szCs w:val="23"/>
        </w:rPr>
      </w:pPr>
    </w:p>
    <w:p w14:paraId="609788F1" w14:textId="1F983E1C" w:rsidR="00273078" w:rsidRDefault="00273078">
      <w:pPr>
        <w:spacing w:after="160" w:line="259" w:lineRule="auto"/>
        <w:rPr>
          <w:rFonts w:ascii="Arial" w:hAnsi="Arial" w:cs="Arial"/>
          <w:sz w:val="23"/>
          <w:szCs w:val="23"/>
        </w:rPr>
      </w:pPr>
      <w:r>
        <w:rPr>
          <w:rFonts w:ascii="Arial" w:hAnsi="Arial" w:cs="Arial"/>
          <w:sz w:val="23"/>
          <w:szCs w:val="23"/>
        </w:rPr>
        <w:br w:type="page"/>
      </w:r>
    </w:p>
    <w:p w14:paraId="0ADC66F9" w14:textId="75FD13DB" w:rsidR="00F1480D" w:rsidRDefault="00F1480D" w:rsidP="00273078">
      <w:pPr>
        <w:pStyle w:val="Chart1X"/>
        <w:rPr>
          <w:lang w:eastAsia="en-AU"/>
        </w:rPr>
      </w:pPr>
      <w:r w:rsidRPr="00B03DEC">
        <w:rPr>
          <w:lang w:eastAsia="en-AU"/>
        </w:rPr>
        <w:t>Percentage of transactions available digitally through Service NSW</w:t>
      </w:r>
    </w:p>
    <w:p w14:paraId="35CF1170" w14:textId="0240AC3E" w:rsidR="00B03DEC" w:rsidRDefault="00033A16" w:rsidP="00273078">
      <w:pPr>
        <w:autoSpaceDE w:val="0"/>
        <w:autoSpaceDN w:val="0"/>
        <w:adjustRightInd w:val="0"/>
        <w:jc w:val="center"/>
        <w:rPr>
          <w:rFonts w:ascii="Arial" w:hAnsi="Arial" w:cs="Arial"/>
          <w:sz w:val="23"/>
          <w:szCs w:val="23"/>
        </w:rPr>
      </w:pPr>
      <w:r>
        <w:rPr>
          <w:noProof/>
          <w:lang w:eastAsia="en-AU"/>
        </w:rPr>
        <w:drawing>
          <wp:inline distT="0" distB="0" distL="0" distR="0" wp14:anchorId="1CB7938E" wp14:editId="0C62E8F0">
            <wp:extent cx="4678680" cy="2489835"/>
            <wp:effectExtent l="0" t="0" r="0" b="0"/>
            <wp:docPr id="20" name="Chart 20" descr="Chart 1.4: Percentage of transactions available digitally through Service NSW">
              <a:extLst xmlns:a="http://schemas.openxmlformats.org/drawingml/2006/main">
                <a:ext uri="{FF2B5EF4-FFF2-40B4-BE49-F238E27FC236}">
                  <a16:creationId xmlns:a16="http://schemas.microsoft.com/office/drawing/2014/main" id="{5B95F2A5-E392-4641-80F8-590D4C81EE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9BCA56" w14:textId="3949BF6B" w:rsidR="005276AD" w:rsidRDefault="00E57A24" w:rsidP="00F36DC3">
      <w:pPr>
        <w:pStyle w:val="Heading3"/>
      </w:pPr>
      <w:r>
        <w:t>P</w:t>
      </w:r>
      <w:r w:rsidR="007E711C">
        <w:t xml:space="preserve">erformance indicators for this </w:t>
      </w:r>
      <w:r w:rsidR="003F03EA">
        <w:t>O</w:t>
      </w:r>
      <w:r w:rsidR="007E711C">
        <w:t>utcome</w:t>
      </w:r>
    </w:p>
    <w:tbl>
      <w:tblPr>
        <w:tblW w:w="9654" w:type="dxa"/>
        <w:tblLayout w:type="fixed"/>
        <w:tblLook w:val="04A0" w:firstRow="1" w:lastRow="0" w:firstColumn="1" w:lastColumn="0" w:noHBand="0" w:noVBand="1"/>
        <w:tblCaption w:val="Performance indicators for this Outcome"/>
      </w:tblPr>
      <w:tblGrid>
        <w:gridCol w:w="6537"/>
        <w:gridCol w:w="736"/>
        <w:gridCol w:w="1190"/>
        <w:gridCol w:w="1191"/>
      </w:tblGrid>
      <w:tr w:rsidR="00230179" w:rsidRPr="005D512A" w14:paraId="6D5F769D" w14:textId="77777777" w:rsidTr="001B6E4E">
        <w:trPr>
          <w:trHeight w:val="283"/>
        </w:trPr>
        <w:tc>
          <w:tcPr>
            <w:tcW w:w="6537" w:type="dxa"/>
            <w:vMerge w:val="restart"/>
            <w:tcBorders>
              <w:top w:val="nil"/>
              <w:left w:val="nil"/>
              <w:bottom w:val="nil"/>
              <w:right w:val="nil"/>
            </w:tcBorders>
            <w:shd w:val="clear" w:color="auto" w:fill="00426F"/>
            <w:noWrap/>
            <w:vAlign w:val="center"/>
            <w:hideMark/>
          </w:tcPr>
          <w:p w14:paraId="2AF4E0D1" w14:textId="77777777" w:rsidR="00230179" w:rsidRPr="005D512A" w:rsidRDefault="00230179" w:rsidP="00230179">
            <w:pPr>
              <w:rPr>
                <w:rFonts w:ascii="Arial" w:eastAsia="Times New Roman" w:hAnsi="Arial" w:cs="Arial"/>
                <w:b/>
                <w:bCs/>
                <w:color w:val="FFFFFF"/>
                <w:sz w:val="18"/>
                <w:szCs w:val="18"/>
                <w:lang w:eastAsia="en-AU"/>
              </w:rPr>
            </w:pPr>
            <w:r w:rsidRPr="005D512A">
              <w:rPr>
                <w:rFonts w:ascii="Arial" w:eastAsia="Times New Roman" w:hAnsi="Arial" w:cs="Arial"/>
                <w:b/>
                <w:bCs/>
                <w:color w:val="FFFFFF"/>
                <w:sz w:val="18"/>
                <w:szCs w:val="18"/>
                <w:lang w:eastAsia="en-AU"/>
              </w:rPr>
              <w:t>Outcome Indicators</w:t>
            </w:r>
          </w:p>
        </w:tc>
        <w:tc>
          <w:tcPr>
            <w:tcW w:w="736" w:type="dxa"/>
            <w:vMerge w:val="restart"/>
            <w:tcBorders>
              <w:top w:val="nil"/>
              <w:left w:val="nil"/>
              <w:bottom w:val="nil"/>
              <w:right w:val="nil"/>
            </w:tcBorders>
            <w:shd w:val="clear" w:color="auto" w:fill="00426F"/>
            <w:noWrap/>
            <w:vAlign w:val="center"/>
            <w:hideMark/>
          </w:tcPr>
          <w:p w14:paraId="0F617AC3" w14:textId="77777777" w:rsidR="00230179" w:rsidRPr="005D512A" w:rsidRDefault="00230179" w:rsidP="00230179">
            <w:pPr>
              <w:jc w:val="center"/>
              <w:rPr>
                <w:rFonts w:ascii="Arial" w:eastAsia="Times New Roman" w:hAnsi="Arial" w:cs="Arial"/>
                <w:b/>
                <w:bCs/>
                <w:color w:val="FFFFFF"/>
                <w:sz w:val="18"/>
                <w:szCs w:val="18"/>
                <w:lang w:eastAsia="en-AU"/>
              </w:rPr>
            </w:pPr>
            <w:r w:rsidRPr="005D512A">
              <w:rPr>
                <w:rFonts w:ascii="Arial" w:eastAsia="Times New Roman" w:hAnsi="Arial" w:cs="Arial"/>
                <w:b/>
                <w:bCs/>
                <w:color w:val="FFFFFF"/>
                <w:sz w:val="18"/>
                <w:szCs w:val="18"/>
                <w:lang w:eastAsia="en-AU"/>
              </w:rPr>
              <w:t>Units</w:t>
            </w:r>
          </w:p>
        </w:tc>
        <w:tc>
          <w:tcPr>
            <w:tcW w:w="1190" w:type="dxa"/>
            <w:tcBorders>
              <w:top w:val="nil"/>
              <w:left w:val="nil"/>
              <w:right w:val="nil"/>
            </w:tcBorders>
            <w:shd w:val="clear" w:color="auto" w:fill="00426F"/>
            <w:noWrap/>
            <w:vAlign w:val="bottom"/>
            <w:hideMark/>
          </w:tcPr>
          <w:p w14:paraId="29AF38BC" w14:textId="77777777" w:rsidR="00230179" w:rsidRPr="005D512A" w:rsidRDefault="00230179" w:rsidP="00522502">
            <w:pPr>
              <w:jc w:val="center"/>
              <w:rPr>
                <w:rFonts w:ascii="Arial" w:eastAsia="Times New Roman" w:hAnsi="Arial" w:cs="Arial"/>
                <w:b/>
                <w:bCs/>
                <w:color w:val="FFFFFF"/>
                <w:sz w:val="18"/>
                <w:szCs w:val="18"/>
                <w:lang w:eastAsia="en-AU"/>
              </w:rPr>
            </w:pPr>
            <w:r w:rsidRPr="005D512A">
              <w:rPr>
                <w:rFonts w:ascii="Arial" w:eastAsia="Times New Roman" w:hAnsi="Arial" w:cs="Arial"/>
                <w:b/>
                <w:bCs/>
                <w:color w:val="FFFFFF"/>
                <w:sz w:val="18"/>
                <w:szCs w:val="18"/>
                <w:lang w:eastAsia="en-AU"/>
              </w:rPr>
              <w:t>2019-20</w:t>
            </w:r>
          </w:p>
        </w:tc>
        <w:tc>
          <w:tcPr>
            <w:tcW w:w="1191" w:type="dxa"/>
            <w:tcBorders>
              <w:top w:val="nil"/>
              <w:left w:val="nil"/>
              <w:right w:val="nil"/>
            </w:tcBorders>
            <w:shd w:val="clear" w:color="auto" w:fill="00426F"/>
            <w:noWrap/>
            <w:vAlign w:val="bottom"/>
            <w:hideMark/>
          </w:tcPr>
          <w:p w14:paraId="422054BC" w14:textId="77777777" w:rsidR="00230179" w:rsidRPr="005D512A" w:rsidRDefault="00230179" w:rsidP="00522502">
            <w:pPr>
              <w:jc w:val="center"/>
              <w:rPr>
                <w:rFonts w:ascii="Arial" w:eastAsia="Times New Roman" w:hAnsi="Arial" w:cs="Arial"/>
                <w:b/>
                <w:bCs/>
                <w:color w:val="FFFFFF"/>
                <w:sz w:val="18"/>
                <w:szCs w:val="18"/>
                <w:lang w:eastAsia="en-AU"/>
              </w:rPr>
            </w:pPr>
            <w:r w:rsidRPr="005D512A">
              <w:rPr>
                <w:rFonts w:ascii="Arial" w:eastAsia="Times New Roman" w:hAnsi="Arial" w:cs="Arial"/>
                <w:b/>
                <w:bCs/>
                <w:color w:val="FFFFFF"/>
                <w:sz w:val="18"/>
                <w:szCs w:val="18"/>
                <w:lang w:eastAsia="en-AU"/>
              </w:rPr>
              <w:t>2020-21</w:t>
            </w:r>
          </w:p>
        </w:tc>
      </w:tr>
      <w:tr w:rsidR="00230179" w:rsidRPr="005D512A" w14:paraId="69BE5A42" w14:textId="77777777" w:rsidTr="0008190D">
        <w:trPr>
          <w:trHeight w:val="283"/>
        </w:trPr>
        <w:tc>
          <w:tcPr>
            <w:tcW w:w="6537" w:type="dxa"/>
            <w:vMerge/>
            <w:vAlign w:val="center"/>
            <w:hideMark/>
          </w:tcPr>
          <w:p w14:paraId="0256641E" w14:textId="77777777" w:rsidR="00230179" w:rsidRPr="005D512A" w:rsidRDefault="00230179" w:rsidP="00230179">
            <w:pPr>
              <w:rPr>
                <w:rFonts w:ascii="Arial" w:eastAsia="Times New Roman" w:hAnsi="Arial" w:cs="Arial"/>
                <w:b/>
                <w:bCs/>
                <w:color w:val="FFFFFF"/>
                <w:sz w:val="18"/>
                <w:szCs w:val="18"/>
                <w:lang w:eastAsia="en-AU"/>
              </w:rPr>
            </w:pPr>
          </w:p>
        </w:tc>
        <w:tc>
          <w:tcPr>
            <w:tcW w:w="736" w:type="dxa"/>
            <w:vMerge/>
            <w:vAlign w:val="center"/>
            <w:hideMark/>
          </w:tcPr>
          <w:p w14:paraId="474B88C6" w14:textId="77777777" w:rsidR="00230179" w:rsidRPr="005D512A" w:rsidRDefault="00230179" w:rsidP="00230179">
            <w:pPr>
              <w:rPr>
                <w:rFonts w:ascii="Arial" w:eastAsia="Times New Roman" w:hAnsi="Arial" w:cs="Arial"/>
                <w:b/>
                <w:bCs/>
                <w:color w:val="FFFFFF"/>
                <w:sz w:val="18"/>
                <w:szCs w:val="18"/>
                <w:lang w:eastAsia="en-AU"/>
              </w:rPr>
            </w:pPr>
          </w:p>
        </w:tc>
        <w:tc>
          <w:tcPr>
            <w:tcW w:w="1190" w:type="dxa"/>
            <w:tcBorders>
              <w:top w:val="nil"/>
              <w:left w:val="nil"/>
              <w:bottom w:val="nil"/>
              <w:right w:val="nil"/>
            </w:tcBorders>
            <w:shd w:val="clear" w:color="auto" w:fill="00426F"/>
            <w:noWrap/>
            <w:hideMark/>
          </w:tcPr>
          <w:p w14:paraId="37CADE69" w14:textId="77777777" w:rsidR="00230179" w:rsidRPr="005D512A" w:rsidRDefault="00230179" w:rsidP="00522502">
            <w:pPr>
              <w:jc w:val="center"/>
              <w:rPr>
                <w:rFonts w:ascii="Arial" w:eastAsia="Times New Roman" w:hAnsi="Arial" w:cs="Arial"/>
                <w:b/>
                <w:bCs/>
                <w:color w:val="FFFFFF"/>
                <w:sz w:val="18"/>
                <w:szCs w:val="18"/>
                <w:lang w:eastAsia="en-AU"/>
              </w:rPr>
            </w:pPr>
            <w:r w:rsidRPr="005D512A">
              <w:rPr>
                <w:rFonts w:ascii="Arial" w:eastAsia="Times New Roman" w:hAnsi="Arial" w:cs="Arial"/>
                <w:b/>
                <w:bCs/>
                <w:color w:val="FFFFFF"/>
                <w:sz w:val="18"/>
                <w:szCs w:val="18"/>
                <w:lang w:eastAsia="en-AU"/>
              </w:rPr>
              <w:t>Actual</w:t>
            </w:r>
          </w:p>
        </w:tc>
        <w:tc>
          <w:tcPr>
            <w:tcW w:w="1191" w:type="dxa"/>
            <w:tcBorders>
              <w:top w:val="nil"/>
              <w:left w:val="nil"/>
              <w:bottom w:val="nil"/>
              <w:right w:val="nil"/>
            </w:tcBorders>
            <w:shd w:val="clear" w:color="auto" w:fill="00426F"/>
            <w:noWrap/>
            <w:hideMark/>
          </w:tcPr>
          <w:p w14:paraId="7CC341C0" w14:textId="77777777" w:rsidR="00230179" w:rsidRPr="005D512A" w:rsidRDefault="00230179" w:rsidP="00522502">
            <w:pPr>
              <w:jc w:val="center"/>
              <w:rPr>
                <w:rFonts w:ascii="Arial" w:eastAsia="Times New Roman" w:hAnsi="Arial" w:cs="Arial"/>
                <w:b/>
                <w:bCs/>
                <w:color w:val="FFFFFF"/>
                <w:sz w:val="18"/>
                <w:szCs w:val="18"/>
                <w:lang w:eastAsia="en-AU"/>
              </w:rPr>
            </w:pPr>
            <w:r w:rsidRPr="005D512A">
              <w:rPr>
                <w:rFonts w:ascii="Arial" w:eastAsia="Times New Roman" w:hAnsi="Arial" w:cs="Arial"/>
                <w:b/>
                <w:bCs/>
                <w:color w:val="FFFFFF"/>
                <w:sz w:val="18"/>
                <w:szCs w:val="18"/>
                <w:lang w:eastAsia="en-AU"/>
              </w:rPr>
              <w:t>Forecast</w:t>
            </w:r>
          </w:p>
        </w:tc>
      </w:tr>
      <w:tr w:rsidR="00230179" w:rsidRPr="00230179" w14:paraId="2C566D64" w14:textId="77777777" w:rsidTr="0008190D">
        <w:trPr>
          <w:trHeight w:val="408"/>
        </w:trPr>
        <w:tc>
          <w:tcPr>
            <w:tcW w:w="6537" w:type="dxa"/>
            <w:tcBorders>
              <w:top w:val="nil"/>
              <w:left w:val="nil"/>
              <w:bottom w:val="nil"/>
              <w:right w:val="nil"/>
            </w:tcBorders>
            <w:shd w:val="clear" w:color="auto" w:fill="FFFFFF" w:themeFill="background1"/>
            <w:vAlign w:val="bottom"/>
            <w:hideMark/>
          </w:tcPr>
          <w:p w14:paraId="2331C094" w14:textId="441E4F23" w:rsidR="00230179" w:rsidRPr="00230179" w:rsidRDefault="00230179" w:rsidP="009462D5">
            <w:pPr>
              <w:rPr>
                <w:rFonts w:ascii="Arial" w:eastAsia="Times New Roman" w:hAnsi="Arial" w:cs="Arial"/>
                <w:color w:val="000000"/>
                <w:sz w:val="16"/>
                <w:szCs w:val="16"/>
                <w:lang w:eastAsia="en-AU"/>
              </w:rPr>
            </w:pPr>
            <w:r w:rsidRPr="005276AD">
              <w:rPr>
                <w:rFonts w:ascii="Arial" w:eastAsia="Times New Roman" w:hAnsi="Arial" w:cs="Arial"/>
                <w:color w:val="000000"/>
                <w:sz w:val="16"/>
                <w:szCs w:val="16"/>
                <w:lang w:eastAsia="en-AU"/>
              </w:rPr>
              <w:t xml:space="preserve">Increase the number of government services where customers only have to </w:t>
            </w:r>
            <w:r w:rsidR="00902423">
              <w:rPr>
                <w:rFonts w:ascii="Arial" w:eastAsia="Times New Roman" w:hAnsi="Arial" w:cs="Arial"/>
                <w:color w:val="000000"/>
                <w:sz w:val="16"/>
                <w:szCs w:val="16"/>
                <w:lang w:eastAsia="en-AU"/>
              </w:rPr>
              <w:br/>
            </w:r>
            <w:r w:rsidRPr="005276AD">
              <w:rPr>
                <w:rFonts w:ascii="Arial" w:eastAsia="Times New Roman" w:hAnsi="Arial" w:cs="Arial"/>
                <w:color w:val="000000"/>
                <w:sz w:val="16"/>
                <w:szCs w:val="16"/>
                <w:lang w:eastAsia="en-AU"/>
              </w:rPr>
              <w:t>"Tell government once"</w:t>
            </w:r>
          </w:p>
        </w:tc>
        <w:tc>
          <w:tcPr>
            <w:tcW w:w="736" w:type="dxa"/>
            <w:tcBorders>
              <w:top w:val="nil"/>
              <w:left w:val="nil"/>
              <w:bottom w:val="nil"/>
              <w:right w:val="nil"/>
            </w:tcBorders>
            <w:shd w:val="clear" w:color="auto" w:fill="FFFFFF" w:themeFill="background1"/>
            <w:noWrap/>
            <w:vAlign w:val="bottom"/>
            <w:hideMark/>
          </w:tcPr>
          <w:p w14:paraId="46B5AB6E" w14:textId="4EB388DD" w:rsidR="00230179" w:rsidRPr="00230179" w:rsidRDefault="00230179" w:rsidP="009462D5">
            <w:pPr>
              <w:jc w:val="center"/>
              <w:rPr>
                <w:rFonts w:ascii="Arial" w:eastAsia="Times New Roman" w:hAnsi="Arial" w:cs="Arial"/>
                <w:color w:val="000000"/>
                <w:sz w:val="16"/>
                <w:szCs w:val="16"/>
                <w:lang w:eastAsia="en-AU"/>
              </w:rPr>
            </w:pPr>
            <w:r w:rsidRPr="005276AD">
              <w:rPr>
                <w:rFonts w:ascii="Arial" w:eastAsia="Times New Roman" w:hAnsi="Arial" w:cs="Arial"/>
                <w:color w:val="000000"/>
                <w:sz w:val="16"/>
                <w:szCs w:val="16"/>
                <w:lang w:eastAsia="en-AU"/>
              </w:rPr>
              <w:t>no.</w:t>
            </w:r>
          </w:p>
        </w:tc>
        <w:tc>
          <w:tcPr>
            <w:tcW w:w="1190" w:type="dxa"/>
            <w:tcBorders>
              <w:top w:val="nil"/>
              <w:left w:val="nil"/>
              <w:bottom w:val="nil"/>
              <w:right w:val="nil"/>
            </w:tcBorders>
            <w:shd w:val="clear" w:color="auto" w:fill="auto"/>
            <w:noWrap/>
            <w:vAlign w:val="bottom"/>
            <w:hideMark/>
          </w:tcPr>
          <w:p w14:paraId="427E879B" w14:textId="1DB2F783" w:rsidR="00230179" w:rsidRPr="00230179" w:rsidRDefault="00230179" w:rsidP="0008190D">
            <w:pPr>
              <w:ind w:right="170"/>
              <w:jc w:val="right"/>
              <w:rPr>
                <w:rFonts w:ascii="Arial" w:eastAsia="Times New Roman" w:hAnsi="Arial" w:cs="Arial"/>
                <w:color w:val="000000"/>
                <w:sz w:val="16"/>
                <w:szCs w:val="16"/>
                <w:lang w:eastAsia="en-AU"/>
              </w:rPr>
            </w:pPr>
            <w:r w:rsidRPr="005276AD">
              <w:rPr>
                <w:rFonts w:ascii="Arial" w:eastAsia="Times New Roman" w:hAnsi="Arial" w:cs="Arial"/>
                <w:color w:val="000000"/>
                <w:sz w:val="16"/>
                <w:szCs w:val="16"/>
                <w:lang w:eastAsia="en-AU"/>
              </w:rPr>
              <w:t xml:space="preserve">25.0 </w:t>
            </w:r>
          </w:p>
        </w:tc>
        <w:tc>
          <w:tcPr>
            <w:tcW w:w="1191" w:type="dxa"/>
            <w:tcBorders>
              <w:top w:val="nil"/>
              <w:left w:val="nil"/>
              <w:bottom w:val="nil"/>
              <w:right w:val="nil"/>
            </w:tcBorders>
            <w:shd w:val="clear" w:color="auto" w:fill="auto"/>
            <w:noWrap/>
            <w:vAlign w:val="bottom"/>
            <w:hideMark/>
          </w:tcPr>
          <w:p w14:paraId="0B252DB0" w14:textId="0B050D52" w:rsidR="00230179" w:rsidRPr="00230179" w:rsidRDefault="00230179" w:rsidP="0008190D">
            <w:pPr>
              <w:ind w:right="170"/>
              <w:jc w:val="right"/>
              <w:rPr>
                <w:rFonts w:ascii="Arial" w:eastAsia="Times New Roman" w:hAnsi="Arial" w:cs="Arial"/>
                <w:sz w:val="16"/>
                <w:szCs w:val="16"/>
                <w:lang w:eastAsia="en-AU"/>
              </w:rPr>
            </w:pPr>
            <w:r w:rsidRPr="005276AD">
              <w:rPr>
                <w:rFonts w:ascii="Arial" w:eastAsia="Times New Roman" w:hAnsi="Arial" w:cs="Arial"/>
                <w:sz w:val="16"/>
                <w:szCs w:val="16"/>
                <w:lang w:eastAsia="en-AU"/>
              </w:rPr>
              <w:t xml:space="preserve">50.0 </w:t>
            </w:r>
          </w:p>
        </w:tc>
      </w:tr>
      <w:tr w:rsidR="00230179" w:rsidRPr="00230179" w14:paraId="2839A7ED" w14:textId="77777777" w:rsidTr="0008190D">
        <w:trPr>
          <w:trHeight w:val="204"/>
        </w:trPr>
        <w:tc>
          <w:tcPr>
            <w:tcW w:w="6537" w:type="dxa"/>
            <w:tcBorders>
              <w:top w:val="nil"/>
              <w:left w:val="nil"/>
              <w:bottom w:val="nil"/>
              <w:right w:val="nil"/>
            </w:tcBorders>
            <w:shd w:val="clear" w:color="auto" w:fill="FFFFFF" w:themeFill="background1"/>
            <w:vAlign w:val="bottom"/>
            <w:hideMark/>
          </w:tcPr>
          <w:p w14:paraId="0AAF4E81" w14:textId="77777777" w:rsidR="00230179" w:rsidRPr="00230179" w:rsidRDefault="00230179" w:rsidP="009462D5">
            <w:pPr>
              <w:rPr>
                <w:rFonts w:ascii="Arial" w:eastAsia="Times New Roman" w:hAnsi="Arial" w:cs="Arial"/>
                <w:color w:val="000000"/>
                <w:sz w:val="16"/>
                <w:szCs w:val="16"/>
                <w:lang w:eastAsia="en-AU"/>
              </w:rPr>
            </w:pPr>
            <w:r w:rsidRPr="00230179">
              <w:rPr>
                <w:rFonts w:ascii="Arial" w:eastAsia="Times New Roman" w:hAnsi="Arial" w:cs="Arial"/>
                <w:color w:val="000000"/>
                <w:sz w:val="16"/>
                <w:szCs w:val="16"/>
                <w:lang w:eastAsia="en-AU"/>
              </w:rPr>
              <w:t>Percentage of transactions available digitally through Service NSW</w:t>
            </w:r>
          </w:p>
        </w:tc>
        <w:tc>
          <w:tcPr>
            <w:tcW w:w="736" w:type="dxa"/>
            <w:tcBorders>
              <w:top w:val="nil"/>
              <w:left w:val="nil"/>
              <w:bottom w:val="nil"/>
              <w:right w:val="nil"/>
            </w:tcBorders>
            <w:shd w:val="clear" w:color="auto" w:fill="FFFFFF" w:themeFill="background1"/>
            <w:noWrap/>
            <w:vAlign w:val="bottom"/>
            <w:hideMark/>
          </w:tcPr>
          <w:p w14:paraId="02634EAF" w14:textId="77777777" w:rsidR="00230179" w:rsidRPr="00230179" w:rsidRDefault="00230179" w:rsidP="009462D5">
            <w:pPr>
              <w:jc w:val="center"/>
              <w:rPr>
                <w:rFonts w:ascii="Arial" w:eastAsia="Times New Roman" w:hAnsi="Arial" w:cs="Arial"/>
                <w:color w:val="000000"/>
                <w:sz w:val="16"/>
                <w:szCs w:val="16"/>
                <w:lang w:eastAsia="en-AU"/>
              </w:rPr>
            </w:pPr>
            <w:r w:rsidRPr="00230179">
              <w:rPr>
                <w:rFonts w:ascii="Arial" w:eastAsia="Times New Roman" w:hAnsi="Arial" w:cs="Arial"/>
                <w:color w:val="000000"/>
                <w:sz w:val="16"/>
                <w:szCs w:val="16"/>
                <w:lang w:eastAsia="en-AU"/>
              </w:rPr>
              <w:t>%</w:t>
            </w:r>
          </w:p>
        </w:tc>
        <w:tc>
          <w:tcPr>
            <w:tcW w:w="1190" w:type="dxa"/>
            <w:tcBorders>
              <w:top w:val="nil"/>
              <w:left w:val="nil"/>
              <w:bottom w:val="nil"/>
              <w:right w:val="nil"/>
            </w:tcBorders>
            <w:shd w:val="clear" w:color="auto" w:fill="auto"/>
            <w:noWrap/>
            <w:vAlign w:val="bottom"/>
            <w:hideMark/>
          </w:tcPr>
          <w:p w14:paraId="36CE3C4F" w14:textId="77777777" w:rsidR="00230179" w:rsidRPr="00230179" w:rsidRDefault="00230179" w:rsidP="0008190D">
            <w:pPr>
              <w:ind w:right="170"/>
              <w:jc w:val="right"/>
              <w:rPr>
                <w:rFonts w:ascii="Arial" w:eastAsia="Times New Roman" w:hAnsi="Arial" w:cs="Arial"/>
                <w:color w:val="000000"/>
                <w:sz w:val="16"/>
                <w:szCs w:val="16"/>
                <w:lang w:eastAsia="en-AU"/>
              </w:rPr>
            </w:pPr>
            <w:r w:rsidRPr="00230179">
              <w:rPr>
                <w:rFonts w:ascii="Arial" w:eastAsia="Times New Roman" w:hAnsi="Arial" w:cs="Arial"/>
                <w:color w:val="000000"/>
                <w:sz w:val="16"/>
                <w:szCs w:val="16"/>
                <w:lang w:eastAsia="en-AU"/>
              </w:rPr>
              <w:t xml:space="preserve">75.4 </w:t>
            </w:r>
          </w:p>
        </w:tc>
        <w:tc>
          <w:tcPr>
            <w:tcW w:w="1191" w:type="dxa"/>
            <w:tcBorders>
              <w:top w:val="nil"/>
              <w:left w:val="nil"/>
              <w:bottom w:val="nil"/>
              <w:right w:val="nil"/>
            </w:tcBorders>
            <w:shd w:val="clear" w:color="auto" w:fill="auto"/>
            <w:noWrap/>
            <w:vAlign w:val="bottom"/>
            <w:hideMark/>
          </w:tcPr>
          <w:p w14:paraId="20EC670A" w14:textId="77777777" w:rsidR="00230179" w:rsidRPr="00230179" w:rsidRDefault="00230179" w:rsidP="0008190D">
            <w:pPr>
              <w:ind w:right="170"/>
              <w:jc w:val="right"/>
              <w:rPr>
                <w:rFonts w:ascii="Arial" w:eastAsia="Times New Roman" w:hAnsi="Arial" w:cs="Arial"/>
                <w:color w:val="000000"/>
                <w:sz w:val="16"/>
                <w:szCs w:val="16"/>
                <w:lang w:eastAsia="en-AU"/>
              </w:rPr>
            </w:pPr>
            <w:r w:rsidRPr="00FE4E1E">
              <w:rPr>
                <w:rFonts w:ascii="Arial" w:eastAsia="Times New Roman" w:hAnsi="Arial" w:cs="Arial"/>
                <w:color w:val="000000" w:themeColor="text1"/>
                <w:sz w:val="16"/>
                <w:szCs w:val="16"/>
                <w:lang w:eastAsia="en-AU"/>
              </w:rPr>
              <w:t>75.4</w:t>
            </w:r>
            <w:r w:rsidRPr="664B878F">
              <w:rPr>
                <w:rFonts w:ascii="Arial" w:eastAsia="Times New Roman" w:hAnsi="Arial" w:cs="Arial"/>
                <w:color w:val="000000" w:themeColor="text1"/>
                <w:sz w:val="16"/>
                <w:szCs w:val="16"/>
                <w:lang w:eastAsia="en-AU"/>
              </w:rPr>
              <w:t xml:space="preserve"> </w:t>
            </w:r>
          </w:p>
        </w:tc>
      </w:tr>
    </w:tbl>
    <w:p w14:paraId="0DDB12C4" w14:textId="77777777" w:rsidR="00203FFB" w:rsidRPr="00902423" w:rsidRDefault="00203FFB">
      <w:pPr>
        <w:rPr>
          <w:rFonts w:ascii="Arial" w:eastAsia="Times New Roman" w:hAnsi="Arial" w:cs="Arial"/>
          <w:b/>
          <w:bCs/>
          <w:color w:val="000000"/>
          <w:sz w:val="6"/>
          <w:szCs w:val="6"/>
          <w:lang w:eastAsia="en-AU"/>
        </w:rPr>
      </w:pPr>
    </w:p>
    <w:p w14:paraId="410BF1EA" w14:textId="024C65CB" w:rsidR="00203FFB" w:rsidRDefault="00203FFB">
      <w:pPr>
        <w:rPr>
          <w:rFonts w:ascii="Arial" w:hAnsi="Arial" w:cs="Arial"/>
        </w:rPr>
      </w:pPr>
    </w:p>
    <w:p w14:paraId="47E9D0AC" w14:textId="77777777" w:rsidR="00203FFB" w:rsidRDefault="00203FFB">
      <w:pPr>
        <w:rPr>
          <w:rFonts w:ascii="Arial" w:hAnsi="Arial" w:cs="Arial"/>
        </w:rPr>
      </w:pPr>
    </w:p>
    <w:p w14:paraId="25B3F40A" w14:textId="77777777" w:rsidR="003A2E82" w:rsidRDefault="003A2E82">
      <w:pPr>
        <w:rPr>
          <w:rFonts w:ascii="Arial" w:eastAsia="Times New Roman" w:hAnsi="Arial" w:cs="Arial"/>
          <w:b/>
          <w:kern w:val="28"/>
          <w:sz w:val="27"/>
          <w:szCs w:val="36"/>
        </w:rPr>
        <w:sectPr w:rsidR="003A2E82" w:rsidSect="00725E84">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510" w:left="1134" w:header="454" w:footer="454" w:gutter="0"/>
          <w:cols w:space="720"/>
          <w:titlePg/>
          <w:docGrid w:linePitch="272"/>
        </w:sectPr>
      </w:pPr>
    </w:p>
    <w:p w14:paraId="1473B805" w14:textId="677B1286" w:rsidR="000E1D98" w:rsidRDefault="009D4292" w:rsidP="00DE3279">
      <w:pPr>
        <w:pStyle w:val="Heading2"/>
        <w:tabs>
          <w:tab w:val="left" w:pos="709"/>
        </w:tabs>
        <w:ind w:left="630" w:hanging="630"/>
      </w:pPr>
      <w:r>
        <w:t xml:space="preserve">Outcome 2: </w:t>
      </w:r>
      <w:r w:rsidR="00DB6A30">
        <w:t xml:space="preserve">Digital </w:t>
      </w:r>
      <w:r w:rsidR="00B34C70">
        <w:t>l</w:t>
      </w:r>
      <w:r w:rsidR="00DB6A30">
        <w:t>eadership and innovation in government services</w:t>
      </w:r>
    </w:p>
    <w:tbl>
      <w:tblPr>
        <w:tblpPr w:leftFromText="180" w:rightFromText="180" w:vertAnchor="text" w:horzAnchor="margin" w:tblpXSpec="right" w:tblpY="666"/>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5"/>
        <w:gridCol w:w="967"/>
        <w:gridCol w:w="1196"/>
      </w:tblGrid>
      <w:tr w:rsidR="00E4491C" w:rsidRPr="00F8244B" w14:paraId="63E830E4" w14:textId="77777777" w:rsidTr="51D91659">
        <w:trPr>
          <w:cantSplit/>
          <w:trHeight w:val="784"/>
        </w:trPr>
        <w:tc>
          <w:tcPr>
            <w:tcW w:w="1730" w:type="pct"/>
            <w:shd w:val="clear" w:color="auto" w:fill="F2F2F2" w:themeFill="background1" w:themeFillShade="F2"/>
            <w:vAlign w:val="center"/>
          </w:tcPr>
          <w:p w14:paraId="5DCD1E9E" w14:textId="77777777" w:rsidR="00E4491C" w:rsidRPr="00F8244B" w:rsidRDefault="00E4491C" w:rsidP="00E4491C">
            <w:pPr>
              <w:spacing w:before="120" w:after="120"/>
              <w:rPr>
                <w:rFonts w:ascii="Arial" w:hAnsi="Arial" w:cs="Arial"/>
                <w:sz w:val="23"/>
                <w:szCs w:val="23"/>
              </w:rPr>
            </w:pPr>
            <w:r w:rsidRPr="00F8244B">
              <w:rPr>
                <w:rFonts w:ascii="Arial" w:hAnsi="Arial" w:cs="Arial"/>
                <w:noProof/>
                <w:lang w:eastAsia="en-AU"/>
              </w:rPr>
              <w:drawing>
                <wp:inline distT="0" distB="0" distL="0" distR="0" wp14:anchorId="4F0D22B7" wp14:editId="45F9AB1C">
                  <wp:extent cx="518160" cy="518160"/>
                  <wp:effectExtent l="0" t="0" r="0" b="0"/>
                  <wp:docPr id="5" name="Picture 5"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211C690B" w14:textId="136962A1" w:rsidR="00E4491C" w:rsidRPr="000C605A" w:rsidRDefault="00E4491C" w:rsidP="00E4491C">
            <w:pPr>
              <w:spacing w:before="120" w:after="120"/>
              <w:jc w:val="center"/>
              <w:rPr>
                <w:rFonts w:ascii="Arial" w:hAnsi="Arial" w:cs="Arial"/>
                <w:color w:val="00ABE6"/>
                <w:sz w:val="18"/>
                <w:szCs w:val="18"/>
              </w:rPr>
            </w:pPr>
            <w:r w:rsidRPr="000C605A">
              <w:rPr>
                <w:rFonts w:ascii="Arial" w:hAnsi="Arial" w:cs="Arial"/>
                <w:color w:val="00ABE6"/>
                <w:sz w:val="18"/>
                <w:szCs w:val="18"/>
              </w:rPr>
              <w:t>$</w:t>
            </w:r>
            <w:r w:rsidR="00CB3A48" w:rsidRPr="000C605A">
              <w:rPr>
                <w:rFonts w:ascii="Arial" w:hAnsi="Arial" w:cs="Arial"/>
                <w:color w:val="00ABE6"/>
                <w:sz w:val="18"/>
                <w:szCs w:val="18"/>
              </w:rPr>
              <w:t>690.3</w:t>
            </w:r>
            <w:r w:rsidRPr="000C605A">
              <w:rPr>
                <w:rFonts w:ascii="Arial" w:hAnsi="Arial" w:cs="Arial"/>
                <w:color w:val="00ABE6"/>
                <w:sz w:val="18"/>
                <w:szCs w:val="18"/>
              </w:rPr>
              <w:t xml:space="preserve"> </w:t>
            </w:r>
            <w:r w:rsidR="00BC5E92" w:rsidRPr="000C605A">
              <w:rPr>
                <w:rFonts w:ascii="Arial" w:hAnsi="Arial" w:cs="Arial"/>
                <w:color w:val="00ABE6"/>
                <w:sz w:val="18"/>
                <w:szCs w:val="18"/>
              </w:rPr>
              <w:t>m</w:t>
            </w:r>
            <w:r w:rsidRPr="000C605A">
              <w:rPr>
                <w:rFonts w:ascii="Arial" w:hAnsi="Arial" w:cs="Arial"/>
                <w:color w:val="00ABE6"/>
                <w:sz w:val="18"/>
                <w:szCs w:val="18"/>
              </w:rPr>
              <w:t>illion</w:t>
            </w:r>
          </w:p>
        </w:tc>
        <w:tc>
          <w:tcPr>
            <w:tcW w:w="1808" w:type="pct"/>
            <w:shd w:val="clear" w:color="auto" w:fill="F2F2F2" w:themeFill="background1" w:themeFillShade="F2"/>
            <w:vAlign w:val="center"/>
          </w:tcPr>
          <w:p w14:paraId="59F69613" w14:textId="77777777" w:rsidR="00E4491C" w:rsidRPr="00F8244B" w:rsidRDefault="00E4491C" w:rsidP="00E4491C">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E4491C" w:rsidRPr="00F8244B" w14:paraId="70823A8D" w14:textId="77777777" w:rsidTr="51D91659">
        <w:trPr>
          <w:cantSplit/>
          <w:trHeight w:val="784"/>
        </w:trPr>
        <w:tc>
          <w:tcPr>
            <w:tcW w:w="1730" w:type="pct"/>
            <w:shd w:val="clear" w:color="auto" w:fill="F2F2F2" w:themeFill="background1" w:themeFillShade="F2"/>
            <w:vAlign w:val="center"/>
          </w:tcPr>
          <w:p w14:paraId="5DA87A6F" w14:textId="29C60D4C" w:rsidR="00E4491C" w:rsidRPr="00F8244B" w:rsidRDefault="006331CD" w:rsidP="00E4491C">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2DF8DD20" wp14:editId="3F47D729">
                  <wp:extent cx="525145" cy="525145"/>
                  <wp:effectExtent l="0" t="0" r="8255" b="8255"/>
                  <wp:docPr id="1" name="Picture 1"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236DEBD6" w14:textId="3FB74EE5" w:rsidR="00E4491C" w:rsidRPr="000C605A" w:rsidRDefault="00E4491C" w:rsidP="00E4491C">
            <w:pPr>
              <w:spacing w:before="120" w:after="120"/>
              <w:jc w:val="center"/>
              <w:rPr>
                <w:rFonts w:ascii="Arial" w:hAnsi="Arial" w:cs="Arial"/>
                <w:color w:val="00ABE6"/>
                <w:sz w:val="18"/>
                <w:szCs w:val="18"/>
              </w:rPr>
            </w:pPr>
            <w:r w:rsidRPr="000C605A">
              <w:rPr>
                <w:rFonts w:ascii="Arial" w:hAnsi="Arial" w:cs="Arial"/>
                <w:color w:val="00ABE6"/>
                <w:sz w:val="18"/>
                <w:szCs w:val="18"/>
              </w:rPr>
              <w:t>$</w:t>
            </w:r>
            <w:r w:rsidR="003069B2" w:rsidRPr="000C605A">
              <w:rPr>
                <w:rFonts w:ascii="Arial" w:hAnsi="Arial" w:cs="Arial"/>
                <w:color w:val="00ABE6"/>
                <w:sz w:val="18"/>
                <w:szCs w:val="18"/>
              </w:rPr>
              <w:t>243.5</w:t>
            </w:r>
            <w:r w:rsidRPr="000C605A">
              <w:rPr>
                <w:rFonts w:ascii="Arial" w:hAnsi="Arial" w:cs="Arial"/>
                <w:color w:val="00ABE6"/>
                <w:sz w:val="18"/>
                <w:szCs w:val="18"/>
              </w:rPr>
              <w:t xml:space="preserve"> million</w:t>
            </w:r>
          </w:p>
        </w:tc>
        <w:tc>
          <w:tcPr>
            <w:tcW w:w="1808" w:type="pct"/>
            <w:shd w:val="clear" w:color="auto" w:fill="F2F2F2" w:themeFill="background1" w:themeFillShade="F2"/>
            <w:vAlign w:val="center"/>
          </w:tcPr>
          <w:p w14:paraId="4AFD3FB7" w14:textId="77777777" w:rsidR="00E4491C" w:rsidRPr="00F8244B" w:rsidRDefault="00E4491C" w:rsidP="00E4491C">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348A14E8" w14:textId="3050E92A" w:rsidR="003A0DAC" w:rsidRPr="003A0DAC" w:rsidRDefault="003A0DAC" w:rsidP="00DE3279">
      <w:pPr>
        <w:pStyle w:val="Heading3"/>
      </w:pPr>
      <w:r w:rsidRPr="003A0DAC">
        <w:t xml:space="preserve">State Outcome </w:t>
      </w:r>
      <w:r w:rsidRPr="00DE3279">
        <w:t>overview</w:t>
      </w:r>
      <w:r w:rsidRPr="003A0DAC">
        <w:t xml:space="preserve"> and 2020-21 investment</w:t>
      </w:r>
    </w:p>
    <w:p w14:paraId="374C8A01" w14:textId="3CAED79B" w:rsidR="005B2A86" w:rsidRDefault="001A1884" w:rsidP="00F01446">
      <w:pPr>
        <w:pStyle w:val="BodyText"/>
      </w:pPr>
      <w:r w:rsidRPr="001A1884">
        <w:t xml:space="preserve">The </w:t>
      </w:r>
      <w:r w:rsidR="00323224">
        <w:t>C</w:t>
      </w:r>
      <w:r w:rsidRPr="001A1884">
        <w:t xml:space="preserve">luster aims to invest in innovation and technology to increase and improve digital availability, reliability and security of NSW </w:t>
      </w:r>
      <w:r w:rsidR="0065677F">
        <w:t>G</w:t>
      </w:r>
      <w:r w:rsidRPr="001A1884">
        <w:t>overnment platforms, information and services. This Outcome measure</w:t>
      </w:r>
      <w:r w:rsidR="005950EE">
        <w:t>s</w:t>
      </w:r>
      <w:r w:rsidRPr="001A1884">
        <w:t xml:space="preserve"> digital readiness, and the public safety coverage and operation of the </w:t>
      </w:r>
      <w:r w:rsidRPr="005775CA">
        <w:rPr>
          <w:i/>
        </w:rPr>
        <w:t>Critical Communications Enhancement Program</w:t>
      </w:r>
      <w:r w:rsidRPr="001A1884">
        <w:t xml:space="preserve"> – a critical enabling asset for many government service providers, including emergency services.</w:t>
      </w:r>
    </w:p>
    <w:p w14:paraId="406C7271" w14:textId="7FA77696" w:rsidR="0061542D" w:rsidRPr="000101AC" w:rsidRDefault="00693D94" w:rsidP="00124529">
      <w:pPr>
        <w:pStyle w:val="Heading3"/>
        <w:tabs>
          <w:tab w:val="left" w:pos="6060"/>
        </w:tabs>
      </w:pPr>
      <w:r w:rsidRPr="000101AC">
        <w:t>20</w:t>
      </w:r>
      <w:r w:rsidR="00806A12" w:rsidRPr="000101AC">
        <w:t>20</w:t>
      </w:r>
      <w:r w:rsidRPr="000101AC">
        <w:t>-2</w:t>
      </w:r>
      <w:r w:rsidR="00806A12" w:rsidRPr="000101AC">
        <w:t>1</w:t>
      </w:r>
      <w:r w:rsidRPr="000101AC">
        <w:t xml:space="preserve"> </w:t>
      </w:r>
      <w:r w:rsidR="009D4292">
        <w:t xml:space="preserve">State Outcome </w:t>
      </w:r>
      <w:r w:rsidRPr="000101AC">
        <w:t xml:space="preserve">Budget </w:t>
      </w:r>
      <w:r w:rsidR="0065677F">
        <w:t>h</w:t>
      </w:r>
      <w:r w:rsidRPr="000101AC">
        <w:t xml:space="preserve">ighlights </w:t>
      </w:r>
      <w:r w:rsidR="00124529">
        <w:tab/>
      </w:r>
    </w:p>
    <w:p w14:paraId="7FBE4B57" w14:textId="324F2F9F" w:rsidR="00EF3007" w:rsidRPr="00C129E1" w:rsidRDefault="00632BAE" w:rsidP="00F01446">
      <w:pPr>
        <w:pStyle w:val="BodyText"/>
      </w:pPr>
      <w:r w:rsidRPr="00F8244B">
        <w:t xml:space="preserve">In </w:t>
      </w:r>
      <w:r w:rsidRPr="000C605A">
        <w:t>20</w:t>
      </w:r>
      <w:r w:rsidR="00806A12" w:rsidRPr="000C605A">
        <w:t>20</w:t>
      </w:r>
      <w:r w:rsidRPr="000C605A">
        <w:t>-2</w:t>
      </w:r>
      <w:r w:rsidR="00806A12" w:rsidRPr="000C605A">
        <w:t>1</w:t>
      </w:r>
      <w:r w:rsidRPr="000C605A">
        <w:t xml:space="preserve">, the Customer Service </w:t>
      </w:r>
      <w:r w:rsidR="00754F71">
        <w:t>C</w:t>
      </w:r>
      <w:r w:rsidRPr="000C605A">
        <w:t xml:space="preserve">luster will </w:t>
      </w:r>
      <w:r w:rsidR="00806A12" w:rsidRPr="000C605A">
        <w:t>invest</w:t>
      </w:r>
      <w:r w:rsidRPr="000C605A">
        <w:t xml:space="preserve"> $</w:t>
      </w:r>
      <w:r w:rsidR="00A447F6" w:rsidRPr="000C605A">
        <w:t>933.8 m</w:t>
      </w:r>
      <w:r w:rsidRPr="000C605A">
        <w:t>illion ($</w:t>
      </w:r>
      <w:r w:rsidR="00CB3A48" w:rsidRPr="000C605A">
        <w:t>690.3</w:t>
      </w:r>
      <w:r w:rsidR="00216F87" w:rsidRPr="000C605A">
        <w:t xml:space="preserve"> m</w:t>
      </w:r>
      <w:r w:rsidRPr="000C605A">
        <w:t xml:space="preserve">illion </w:t>
      </w:r>
      <w:r w:rsidR="005B1FFB" w:rsidRPr="000C605A">
        <w:t xml:space="preserve">recurrent </w:t>
      </w:r>
      <w:r w:rsidRPr="000C605A">
        <w:t>expenses</w:t>
      </w:r>
      <w:r w:rsidR="00FD4913" w:rsidRPr="000C605A">
        <w:t xml:space="preserve"> and</w:t>
      </w:r>
      <w:r w:rsidRPr="000C605A">
        <w:t xml:space="preserve"> $</w:t>
      </w:r>
      <w:r w:rsidR="00216F87" w:rsidRPr="000C605A">
        <w:t>243.5</w:t>
      </w:r>
      <w:r w:rsidRPr="000C605A">
        <w:t xml:space="preserve"> million capital</w:t>
      </w:r>
      <w:r w:rsidR="00FD4913" w:rsidRPr="00F8244B">
        <w:t xml:space="preserve"> expenditure</w:t>
      </w:r>
      <w:r w:rsidRPr="00F8244B">
        <w:t>)</w:t>
      </w:r>
      <w:r w:rsidR="00806A12">
        <w:t xml:space="preserve"> </w:t>
      </w:r>
      <w:r w:rsidR="0026669B">
        <w:t xml:space="preserve">in this </w:t>
      </w:r>
      <w:r w:rsidR="0065677F">
        <w:t>O</w:t>
      </w:r>
      <w:r w:rsidR="0026669B">
        <w:t>utcome</w:t>
      </w:r>
      <w:r w:rsidR="00806A12">
        <w:t>, including</w:t>
      </w:r>
      <w:r w:rsidR="00B97D36">
        <w:t>:</w:t>
      </w:r>
    </w:p>
    <w:p w14:paraId="06AF4F7F" w14:textId="470D63E7" w:rsidR="44A7FD29" w:rsidRDefault="751F7FBE" w:rsidP="00F01446">
      <w:pPr>
        <w:pStyle w:val="Bullet1"/>
        <w:rPr>
          <w:rFonts w:asciiTheme="minorHAnsi" w:eastAsiaTheme="minorEastAsia" w:hAnsiTheme="minorHAnsi" w:cstheme="minorBidi"/>
        </w:rPr>
      </w:pPr>
      <w:r>
        <w:t>$500</w:t>
      </w:r>
      <w:r w:rsidR="0058587E">
        <w:t>.0</w:t>
      </w:r>
      <w:r>
        <w:t xml:space="preserve"> million ($1.</w:t>
      </w:r>
      <w:r w:rsidR="499E5059">
        <w:t>6</w:t>
      </w:r>
      <w:r>
        <w:t xml:space="preserve"> billion</w:t>
      </w:r>
      <w:r w:rsidR="31A5F1BB">
        <w:t xml:space="preserve"> for projects </w:t>
      </w:r>
      <w:r>
        <w:t xml:space="preserve">over </w:t>
      </w:r>
      <w:r w:rsidR="00B97D36">
        <w:t>three</w:t>
      </w:r>
      <w:r>
        <w:t xml:space="preserve"> years) for the </w:t>
      </w:r>
      <w:r w:rsidRPr="005775CA">
        <w:rPr>
          <w:i/>
        </w:rPr>
        <w:t>Digital Restart Fund</w:t>
      </w:r>
      <w:r>
        <w:t>. The purpose of the Fund is to support digital and information and communications technology initiatives across the government sector</w:t>
      </w:r>
    </w:p>
    <w:p w14:paraId="115FB50A" w14:textId="316E293B" w:rsidR="00A335A9" w:rsidRPr="00960293" w:rsidRDefault="2BB5A9BA" w:rsidP="00F01446">
      <w:pPr>
        <w:pStyle w:val="Bullet1"/>
        <w:rPr>
          <w:rFonts w:asciiTheme="minorHAnsi" w:eastAsiaTheme="minorEastAsia" w:hAnsiTheme="minorHAnsi" w:cstheme="minorBidi"/>
        </w:rPr>
      </w:pPr>
      <w:r>
        <w:t>$240</w:t>
      </w:r>
      <w:r w:rsidR="0058587E">
        <w:t>.0</w:t>
      </w:r>
      <w:r>
        <w:t xml:space="preserve"> million </w:t>
      </w:r>
      <w:r w:rsidR="00267791">
        <w:t xml:space="preserve">under the </w:t>
      </w:r>
      <w:r w:rsidR="00267791" w:rsidRPr="005775CA">
        <w:rPr>
          <w:i/>
        </w:rPr>
        <w:t>Digital Restart Fund</w:t>
      </w:r>
      <w:r w:rsidR="00267791">
        <w:t xml:space="preserve"> </w:t>
      </w:r>
      <w:r>
        <w:t xml:space="preserve">over </w:t>
      </w:r>
      <w:r w:rsidR="00186695">
        <w:t>three</w:t>
      </w:r>
      <w:r>
        <w:t xml:space="preserve"> years has been allocated to Cyber Security Investments across the sector. </w:t>
      </w:r>
      <w:r w:rsidR="004D5FE5">
        <w:t>T</w:t>
      </w:r>
      <w:r>
        <w:t>he first initiative</w:t>
      </w:r>
      <w:r w:rsidR="00E930BC">
        <w:t xml:space="preserve"> to be approved</w:t>
      </w:r>
      <w:r>
        <w:t xml:space="preserve"> under this</w:t>
      </w:r>
      <w:r w:rsidR="00EB39DD">
        <w:t xml:space="preserve"> fund</w:t>
      </w:r>
      <w:r w:rsidR="00911601">
        <w:t xml:space="preserve"> is</w:t>
      </w:r>
      <w:r>
        <w:t xml:space="preserve"> a $20</w:t>
      </w:r>
      <w:r w:rsidR="0058587E">
        <w:t>.0</w:t>
      </w:r>
      <w:r>
        <w:t xml:space="preserve"> million ($60</w:t>
      </w:r>
      <w:r w:rsidR="0058587E">
        <w:t>.0</w:t>
      </w:r>
      <w:r>
        <w:t xml:space="preserve"> million expenses over </w:t>
      </w:r>
      <w:r w:rsidR="00186695">
        <w:t>three</w:t>
      </w:r>
      <w:r>
        <w:t xml:space="preserve"> years) investment in </w:t>
      </w:r>
      <w:r w:rsidRPr="005E0A1A">
        <w:rPr>
          <w:i/>
        </w:rPr>
        <w:t>Cyber Security Maturity</w:t>
      </w:r>
      <w:r>
        <w:t xml:space="preserve">, a program under the control of the NSW Chief Cyber Security officer in </w:t>
      </w:r>
      <w:r w:rsidR="009A293F">
        <w:t xml:space="preserve">the </w:t>
      </w:r>
      <w:r>
        <w:t>D</w:t>
      </w:r>
      <w:r w:rsidR="00186695">
        <w:t xml:space="preserve">epartment of </w:t>
      </w:r>
      <w:r>
        <w:t>C</w:t>
      </w:r>
      <w:r w:rsidR="00186695">
        <w:t xml:space="preserve">ustomer </w:t>
      </w:r>
      <w:r>
        <w:t>S</w:t>
      </w:r>
      <w:r w:rsidR="00186695">
        <w:t>ervice</w:t>
      </w:r>
    </w:p>
    <w:p w14:paraId="7CB60AF3" w14:textId="77777777" w:rsidR="00960293" w:rsidRPr="0007224F" w:rsidRDefault="00960293" w:rsidP="00F01446">
      <w:pPr>
        <w:pStyle w:val="Bullet1"/>
      </w:pPr>
      <w:r>
        <w:t xml:space="preserve">$63.1 million ($217.0 million capital over four years) for the </w:t>
      </w:r>
      <w:r w:rsidRPr="005775CA">
        <w:rPr>
          <w:i/>
        </w:rPr>
        <w:t>Critical Communications Enhancement Project</w:t>
      </w:r>
      <w:r>
        <w:t>, which will deliver greater access to public safety standard radio communications for the State’s first responders and essential service agencies</w:t>
      </w:r>
    </w:p>
    <w:p w14:paraId="2845505F" w14:textId="772690DE" w:rsidR="00A47DD3" w:rsidRPr="00A47DD3" w:rsidRDefault="00960293" w:rsidP="00F01446">
      <w:pPr>
        <w:pStyle w:val="Bullet1"/>
        <w:rPr>
          <w:rFonts w:eastAsiaTheme="minorEastAsia"/>
        </w:rPr>
      </w:pPr>
      <w:r>
        <w:t>$10.0 million ($30.6 million expenses over four years) to deliver a one front door corporate shared services model that is secure, innovative, efficient and scalable to support a seamless customer experience for our consumers and better value for money for the citizens of New South Wales</w:t>
      </w:r>
      <w:r w:rsidR="00204994">
        <w:t>.</w:t>
      </w:r>
    </w:p>
    <w:p w14:paraId="50B46889" w14:textId="1FFF16E9" w:rsidR="00693D94" w:rsidRDefault="000E41BD" w:rsidP="00DE3279">
      <w:pPr>
        <w:pStyle w:val="Heading3"/>
      </w:pPr>
      <w:r w:rsidRPr="00DC6435">
        <w:t xml:space="preserve">Key performance </w:t>
      </w:r>
      <w:r w:rsidRPr="00DE3279">
        <w:t>insights</w:t>
      </w:r>
      <w:r w:rsidRPr="00DC6435">
        <w:t xml:space="preserve"> </w:t>
      </w:r>
    </w:p>
    <w:p w14:paraId="266575F6" w14:textId="77777777" w:rsidR="00B84D17" w:rsidRPr="00B84D17" w:rsidRDefault="00B84D17" w:rsidP="00F01446">
      <w:pPr>
        <w:pStyle w:val="BodyText"/>
        <w:rPr>
          <w:b/>
        </w:rPr>
      </w:pPr>
      <w:bookmarkStart w:id="10" w:name="_Toc516321120"/>
      <w:bookmarkStart w:id="11" w:name="_Hlk7526001"/>
      <w:r w:rsidRPr="00B84D17">
        <w:t xml:space="preserve">This section provides analysis and insights on key Outcome Indicators for this State Outcome. </w:t>
      </w:r>
    </w:p>
    <w:p w14:paraId="0C9ECC0C" w14:textId="39AC69D9" w:rsidR="003C65D0" w:rsidRPr="00993D23" w:rsidRDefault="00A2348A" w:rsidP="00DE3279">
      <w:pPr>
        <w:pStyle w:val="Heading4"/>
      </w:pPr>
      <w:r w:rsidRPr="00993D23">
        <w:t xml:space="preserve">Public safety coverage and </w:t>
      </w:r>
      <w:r w:rsidRPr="00DE3279">
        <w:t>operations</w:t>
      </w:r>
      <w:r w:rsidRPr="00993D23">
        <w:t xml:space="preserve"> of the CCEP</w:t>
      </w:r>
    </w:p>
    <w:p w14:paraId="43069DA2" w14:textId="57E4893A" w:rsidR="003C65D0" w:rsidRPr="003C65D0" w:rsidRDefault="003C65D0" w:rsidP="00F01446">
      <w:pPr>
        <w:pStyle w:val="BodyText"/>
        <w:rPr>
          <w:b/>
        </w:rPr>
      </w:pPr>
      <w:r w:rsidRPr="003C65D0">
        <w:t>The Public Safety Network (PSN</w:t>
      </w:r>
      <w:r w:rsidR="0034091C">
        <w:t>)</w:t>
      </w:r>
      <w:r w:rsidRPr="003C65D0">
        <w:t>, also referred to as the Government Radio Network</w:t>
      </w:r>
      <w:r w:rsidR="0034091C">
        <w:t>,</w:t>
      </w:r>
      <w:r w:rsidRPr="003C65D0">
        <w:t xml:space="preserve"> is one of the world's largest trunked radio networks, shared by </w:t>
      </w:r>
      <w:r w:rsidR="00B75B3A">
        <w:t xml:space="preserve">more than </w:t>
      </w:r>
      <w:r w:rsidRPr="003C65D0">
        <w:t xml:space="preserve">50 agencies and serving approximately 42,000 registered terminals. </w:t>
      </w:r>
    </w:p>
    <w:p w14:paraId="56C81658" w14:textId="6E0D0280" w:rsidR="00CD4D0A" w:rsidRDefault="00CD4D0A" w:rsidP="00F01446">
      <w:pPr>
        <w:pStyle w:val="BodyText"/>
        <w:rPr>
          <w:b/>
        </w:rPr>
      </w:pPr>
      <w:r>
        <w:t xml:space="preserve">This indicator </w:t>
      </w:r>
      <w:r w:rsidR="002C08F5">
        <w:t>measures</w:t>
      </w:r>
      <w:r w:rsidR="00D63194">
        <w:t xml:space="preserve"> the coverage of the PSN</w:t>
      </w:r>
      <w:r w:rsidR="001C50AF">
        <w:t>. P</w:t>
      </w:r>
      <w:r w:rsidR="002C08F5">
        <w:t xml:space="preserve">erformance against this indictor </w:t>
      </w:r>
      <w:r w:rsidR="00F53E41">
        <w:t xml:space="preserve">has </w:t>
      </w:r>
      <w:r w:rsidR="001C50AF">
        <w:t xml:space="preserve">been improving and continues to </w:t>
      </w:r>
      <w:r w:rsidR="009C6589">
        <w:t>track to the network availability target of 99.95 per cent.</w:t>
      </w:r>
      <w:r w:rsidR="00BA2CC2">
        <w:t xml:space="preserve"> </w:t>
      </w:r>
      <w:r w:rsidR="001C50AF">
        <w:t xml:space="preserve"> </w:t>
      </w:r>
    </w:p>
    <w:p w14:paraId="380E8EA0" w14:textId="77777777" w:rsidR="003D5B6A" w:rsidRDefault="003D5B6A">
      <w:pPr>
        <w:spacing w:after="160" w:line="259" w:lineRule="auto"/>
        <w:rPr>
          <w:rFonts w:ascii="Arial" w:hAnsi="Arial" w:cs="Arial"/>
          <w:bCs/>
          <w:sz w:val="23"/>
          <w:szCs w:val="20"/>
        </w:rPr>
      </w:pPr>
      <w:r>
        <w:br w:type="page"/>
      </w:r>
    </w:p>
    <w:p w14:paraId="67A51505" w14:textId="31BE010C" w:rsidR="00FA1606" w:rsidRDefault="003C65D0" w:rsidP="00F01446">
      <w:pPr>
        <w:pStyle w:val="BodyText"/>
        <w:rPr>
          <w:b/>
        </w:rPr>
      </w:pPr>
      <w:r w:rsidRPr="003C65D0">
        <w:t xml:space="preserve">Under the </w:t>
      </w:r>
      <w:r w:rsidRPr="00CD2FEC">
        <w:rPr>
          <w:i/>
          <w:iCs/>
        </w:rPr>
        <w:t>Critical Communications Enhancement Program</w:t>
      </w:r>
      <w:r w:rsidRPr="003C65D0">
        <w:t xml:space="preserve"> (CCEP) geographic coverage of the PSN has increased to 40</w:t>
      </w:r>
      <w:r w:rsidR="00332043">
        <w:t xml:space="preserve"> per cent</w:t>
      </w:r>
      <w:r w:rsidRPr="003C65D0">
        <w:t xml:space="preserve"> providing population coverage of 93</w:t>
      </w:r>
      <w:r w:rsidR="00332043">
        <w:t xml:space="preserve"> per cent</w:t>
      </w:r>
      <w:r w:rsidRPr="003C65D0">
        <w:t>. In 2019</w:t>
      </w:r>
      <w:r w:rsidR="00C019EF">
        <w:noBreakHyphen/>
      </w:r>
      <w:r w:rsidRPr="003C65D0">
        <w:t>20, 31 new sites were added to the network bringing the total number of sites delivered under the CCEP to 66. During the 2019</w:t>
      </w:r>
      <w:r w:rsidR="00B704B6">
        <w:t>-</w:t>
      </w:r>
      <w:r w:rsidRPr="003C65D0">
        <w:t>20 bushfires, more than 10 million calls were made on the PSN, 24 sites were fast-tracked and 36 mobile units deployed in support of the emergency response in N</w:t>
      </w:r>
      <w:r w:rsidR="007504EA">
        <w:t xml:space="preserve">ew </w:t>
      </w:r>
      <w:r w:rsidRPr="003C65D0">
        <w:t>S</w:t>
      </w:r>
      <w:r w:rsidR="007504EA">
        <w:t xml:space="preserve">outh </w:t>
      </w:r>
      <w:r w:rsidRPr="003C65D0">
        <w:t>W</w:t>
      </w:r>
      <w:r w:rsidR="007504EA">
        <w:t>ales</w:t>
      </w:r>
      <w:r w:rsidRPr="003C65D0">
        <w:t xml:space="preserve">. </w:t>
      </w:r>
    </w:p>
    <w:p w14:paraId="6884B1A0" w14:textId="2A65E0BE" w:rsidR="00FA1606" w:rsidRPr="00DF6C18" w:rsidRDefault="00FA1606" w:rsidP="00DE3279">
      <w:pPr>
        <w:pStyle w:val="Chart1X"/>
        <w:rPr>
          <w:lang w:eastAsia="en-AU"/>
        </w:rPr>
      </w:pPr>
      <w:r w:rsidRPr="00DF6C18">
        <w:rPr>
          <w:lang w:eastAsia="en-AU"/>
        </w:rPr>
        <w:t>Public safety coverage and operations of the CCEP</w:t>
      </w:r>
    </w:p>
    <w:p w14:paraId="2BC94DAE" w14:textId="2F3966BF" w:rsidR="008A18B2" w:rsidRDefault="008A18B2" w:rsidP="008A18B2">
      <w:pPr>
        <w:jc w:val="center"/>
        <w:rPr>
          <w:rFonts w:ascii="Arial" w:hAnsi="Arial" w:cs="Arial"/>
          <w:sz w:val="16"/>
          <w:szCs w:val="16"/>
        </w:rPr>
      </w:pPr>
      <w:r w:rsidRPr="002673C8">
        <w:rPr>
          <w:rFonts w:ascii="Calibri" w:eastAsia="Times New Roman" w:hAnsi="Calibri" w:cs="Calibri"/>
          <w:noProof/>
          <w:color w:val="000000"/>
          <w:lang w:eastAsia="en-AU"/>
        </w:rPr>
        <w:drawing>
          <wp:inline distT="0" distB="0" distL="0" distR="0" wp14:anchorId="482784AE" wp14:editId="54535B6C">
            <wp:extent cx="4678680" cy="2491740"/>
            <wp:effectExtent l="0" t="0" r="0" b="0"/>
            <wp:docPr id="6" name="Chart 6" descr="Chart 1.5: Public safety coverage and operations of the CCEP">
              <a:extLst xmlns:a="http://schemas.openxmlformats.org/drawingml/2006/main">
                <a:ext uri="{FF2B5EF4-FFF2-40B4-BE49-F238E27FC236}">
                  <a16:creationId xmlns:a16="http://schemas.microsoft.com/office/drawing/2014/main" id="{711616C8-443D-4E52-9617-D5F62008E30F}"/>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E0B77A4" w14:textId="70CC4D2F" w:rsidR="008A18B2" w:rsidRPr="001F0957" w:rsidRDefault="008A18B2" w:rsidP="00B16A6E">
      <w:pPr>
        <w:rPr>
          <w:rFonts w:ascii="Arial" w:hAnsi="Arial" w:cs="Arial"/>
          <w:sz w:val="16"/>
          <w:szCs w:val="16"/>
        </w:rPr>
      </w:pPr>
      <w:r w:rsidRPr="001F0957">
        <w:rPr>
          <w:rFonts w:ascii="Arial" w:eastAsia="Times New Roman" w:hAnsi="Arial" w:cs="Arial"/>
          <w:color w:val="000000"/>
          <w:sz w:val="17"/>
          <w:szCs w:val="17"/>
          <w:lang w:eastAsia="en-AU"/>
        </w:rPr>
        <w:t>Note: Performance targets are in development.</w:t>
      </w:r>
    </w:p>
    <w:p w14:paraId="1583BA77" w14:textId="00985CCF" w:rsidR="00A2348A" w:rsidRPr="007D64BD" w:rsidRDefault="00A2348A" w:rsidP="00DE3279">
      <w:pPr>
        <w:pStyle w:val="Heading4"/>
      </w:pPr>
      <w:r w:rsidRPr="007D64BD">
        <w:t xml:space="preserve">NSW digital </w:t>
      </w:r>
      <w:r w:rsidRPr="00DE3279">
        <w:t>government</w:t>
      </w:r>
      <w:r w:rsidRPr="007D64BD">
        <w:t xml:space="preserve"> readiness</w:t>
      </w:r>
    </w:p>
    <w:p w14:paraId="4EE19FCA" w14:textId="118E03BF" w:rsidR="00E51105" w:rsidRDefault="002E3BD1" w:rsidP="00F01446">
      <w:pPr>
        <w:pStyle w:val="BodyText"/>
      </w:pPr>
      <w:r w:rsidRPr="002E3BD1">
        <w:t>N</w:t>
      </w:r>
      <w:r w:rsidR="007504EA">
        <w:t xml:space="preserve">ew </w:t>
      </w:r>
      <w:r w:rsidRPr="002E3BD1">
        <w:t>S</w:t>
      </w:r>
      <w:r w:rsidR="007504EA">
        <w:t xml:space="preserve">outh </w:t>
      </w:r>
      <w:r w:rsidRPr="002E3BD1">
        <w:t>W</w:t>
      </w:r>
      <w:r w:rsidR="007504EA">
        <w:t>ales</w:t>
      </w:r>
      <w:r w:rsidRPr="002E3BD1">
        <w:t xml:space="preserve"> remains the leading Australian jurisdiction for digital transformation, with a score of 9.7</w:t>
      </w:r>
      <w:r w:rsidR="009C6589">
        <w:t xml:space="preserve"> out of </w:t>
      </w:r>
      <w:r w:rsidRPr="002E3BD1">
        <w:t xml:space="preserve">10 on the latest Digital Government Readiness report. The score measures what a government has done to ensure agencies are supported and enabled in digital transformation, and reflects </w:t>
      </w:r>
      <w:r w:rsidR="009C6589">
        <w:t xml:space="preserve">the </w:t>
      </w:r>
      <w:r w:rsidRPr="002E3BD1">
        <w:t>significant change realised through the establishment of the right strategy, policy and governance for customer service delivery channels.</w:t>
      </w:r>
    </w:p>
    <w:p w14:paraId="6480E002" w14:textId="26778AB9" w:rsidR="00FA1606" w:rsidRDefault="009C6589" w:rsidP="00F01446">
      <w:pPr>
        <w:pStyle w:val="BodyText"/>
      </w:pPr>
      <w:r>
        <w:t>Performance against this indica</w:t>
      </w:r>
      <w:r w:rsidR="00AE1C47">
        <w:t xml:space="preserve">tor </w:t>
      </w:r>
      <w:r w:rsidR="00D33C22">
        <w:t>continues to be strong</w:t>
      </w:r>
      <w:r w:rsidR="00967AE7">
        <w:t xml:space="preserve">, </w:t>
      </w:r>
      <w:r w:rsidR="002B2E64">
        <w:t xml:space="preserve">and </w:t>
      </w:r>
      <w:r w:rsidR="00967AE7">
        <w:t>m</w:t>
      </w:r>
      <w:r w:rsidR="002E3BD1" w:rsidRPr="002E3BD1">
        <w:t>eaningful progress has been made in all areas of digital readiness</w:t>
      </w:r>
      <w:r w:rsidR="001B1D9C">
        <w:t>. K</w:t>
      </w:r>
      <w:r w:rsidR="002E3BD1" w:rsidRPr="002E3BD1">
        <w:t>ey initiatives</w:t>
      </w:r>
      <w:r w:rsidR="006A7C59">
        <w:t xml:space="preserve"> underpinning this progress</w:t>
      </w:r>
      <w:r w:rsidR="002E3BD1" w:rsidRPr="002E3BD1">
        <w:t xml:space="preserve"> includ</w:t>
      </w:r>
      <w:r w:rsidR="006A7C59">
        <w:t>e</w:t>
      </w:r>
      <w:r w:rsidR="002E3BD1" w:rsidRPr="002E3BD1">
        <w:t xml:space="preserve"> strong participation in the Australian Data and Digital Council, </w:t>
      </w:r>
      <w:r w:rsidR="006A7C59">
        <w:t xml:space="preserve">the </w:t>
      </w:r>
      <w:r w:rsidR="002E3BD1" w:rsidRPr="002E3BD1">
        <w:t xml:space="preserve">establishment of the Digital Restart Fund, </w:t>
      </w:r>
      <w:r w:rsidR="00A7386D">
        <w:t xml:space="preserve">the </w:t>
      </w:r>
      <w:r w:rsidR="002E3BD1" w:rsidRPr="002E3BD1">
        <w:t>launch</w:t>
      </w:r>
      <w:r w:rsidR="00A7386D">
        <w:t xml:space="preserve"> of</w:t>
      </w:r>
      <w:r w:rsidR="002E3BD1" w:rsidRPr="002E3BD1">
        <w:t xml:space="preserve"> the Beyond Digital strategy, the roll out of </w:t>
      </w:r>
      <w:proofErr w:type="spellStart"/>
      <w:r w:rsidR="002E3BD1" w:rsidRPr="002E3BD1">
        <w:t>GovDC</w:t>
      </w:r>
      <w:proofErr w:type="spellEnd"/>
      <w:r w:rsidR="002E3BD1" w:rsidRPr="002E3BD1">
        <w:t xml:space="preserve"> cloud services, the </w:t>
      </w:r>
      <w:proofErr w:type="spellStart"/>
      <w:r w:rsidR="002E3BD1" w:rsidRPr="002E3BD1">
        <w:t>buy.nsw</w:t>
      </w:r>
      <w:proofErr w:type="spellEnd"/>
      <w:r w:rsidR="002E3BD1" w:rsidRPr="002E3BD1">
        <w:t xml:space="preserve"> purchasing platform, the Trusted Digital Identity Framework, the Australian Digital Twin, and digital marketplaces.</w:t>
      </w:r>
    </w:p>
    <w:p w14:paraId="024BBD3F" w14:textId="77777777" w:rsidR="00CA3623" w:rsidRDefault="00CA3623">
      <w:pPr>
        <w:spacing w:after="160" w:line="259" w:lineRule="auto"/>
        <w:rPr>
          <w:rFonts w:ascii="Arial" w:eastAsia="Times New Roman" w:hAnsi="Arial" w:cs="Times New Roman"/>
          <w:i/>
          <w:color w:val="4F4F4F"/>
          <w:szCs w:val="20"/>
          <w:lang w:val="en-US" w:eastAsia="en-AU"/>
        </w:rPr>
      </w:pPr>
      <w:r>
        <w:rPr>
          <w:lang w:eastAsia="en-AU"/>
        </w:rPr>
        <w:br w:type="page"/>
      </w:r>
    </w:p>
    <w:p w14:paraId="5A3F3609" w14:textId="7699B899" w:rsidR="00FA1606" w:rsidRPr="00C62B2A" w:rsidRDefault="00FA1606" w:rsidP="00DE3279">
      <w:pPr>
        <w:pStyle w:val="Chart1X"/>
        <w:rPr>
          <w:lang w:eastAsia="en-AU"/>
        </w:rPr>
      </w:pPr>
      <w:r w:rsidRPr="00C62B2A">
        <w:rPr>
          <w:lang w:eastAsia="en-AU"/>
        </w:rPr>
        <w:t>NSW digital government readiness</w:t>
      </w:r>
      <w:r>
        <w:rPr>
          <w:lang w:eastAsia="en-AU"/>
        </w:rPr>
        <w:t xml:space="preserve"> score</w:t>
      </w:r>
    </w:p>
    <w:p w14:paraId="0CB0D2F5" w14:textId="77777777" w:rsidR="00CA3623" w:rsidRDefault="00A6226F" w:rsidP="00CA3623">
      <w:pPr>
        <w:jc w:val="center"/>
        <w:rPr>
          <w:rFonts w:ascii="Arial" w:eastAsia="Times New Roman" w:hAnsi="Arial" w:cs="Arial"/>
          <w:i/>
          <w:iCs/>
          <w:color w:val="000000"/>
          <w:sz w:val="17"/>
          <w:szCs w:val="17"/>
          <w:lang w:eastAsia="en-AU"/>
        </w:rPr>
      </w:pPr>
      <w:r w:rsidRPr="00DA0CA2">
        <w:rPr>
          <w:rFonts w:ascii="Calibri" w:eastAsia="Times New Roman" w:hAnsi="Calibri" w:cs="Calibri"/>
          <w:noProof/>
          <w:color w:val="000000"/>
          <w:lang w:eastAsia="en-AU"/>
        </w:rPr>
        <w:drawing>
          <wp:inline distT="0" distB="0" distL="0" distR="0" wp14:anchorId="6F3A8E10" wp14:editId="0BC6EA3C">
            <wp:extent cx="4678680" cy="2491740"/>
            <wp:effectExtent l="0" t="0" r="0" b="3810"/>
            <wp:docPr id="15" name="Chart 15" descr="Chart 1.6: NSW digital government readiness score">
              <a:extLst xmlns:a="http://schemas.openxmlformats.org/drawingml/2006/main">
                <a:ext uri="{FF2B5EF4-FFF2-40B4-BE49-F238E27FC236}">
                  <a16:creationId xmlns:a16="http://schemas.microsoft.com/office/drawing/2014/main" id="{A73C1219-B591-449E-B444-3F8D35DE61D8}"/>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5838762" w14:textId="77777777" w:rsidR="00CA3623" w:rsidRPr="00CA3623" w:rsidRDefault="00CA3623">
      <w:pPr>
        <w:rPr>
          <w:rFonts w:ascii="Arial" w:eastAsia="Times New Roman" w:hAnsi="Arial" w:cs="Arial"/>
          <w:i/>
          <w:iCs/>
          <w:color w:val="000000"/>
          <w:sz w:val="6"/>
          <w:szCs w:val="6"/>
          <w:lang w:eastAsia="en-AU"/>
        </w:rPr>
      </w:pPr>
    </w:p>
    <w:p w14:paraId="4CF088E3" w14:textId="7B22EA4D" w:rsidR="00E542F9" w:rsidRPr="001C3627" w:rsidRDefault="006F0BA9">
      <w:pPr>
        <w:rPr>
          <w:rFonts w:ascii="Arial" w:hAnsi="Arial" w:cs="Arial"/>
          <w:sz w:val="16"/>
          <w:szCs w:val="16"/>
        </w:rPr>
      </w:pPr>
      <w:r w:rsidRPr="001C3627">
        <w:rPr>
          <w:rFonts w:ascii="Arial" w:eastAsia="Times New Roman" w:hAnsi="Arial" w:cs="Arial"/>
          <w:color w:val="000000"/>
          <w:sz w:val="17"/>
          <w:szCs w:val="17"/>
          <w:lang w:eastAsia="en-AU"/>
        </w:rPr>
        <w:t>Note: A forecast is not available as the values are sourced from the Digital Government Readiness Report prepared by Intermedium. The next results are expected to be released in early 2021.</w:t>
      </w:r>
      <w:r w:rsidRPr="001C3627">
        <w:rPr>
          <w:rFonts w:ascii="Arial" w:eastAsia="Times New Roman" w:hAnsi="Arial" w:cs="Arial"/>
          <w:color w:val="000000"/>
          <w:sz w:val="17"/>
          <w:szCs w:val="17"/>
          <w:lang w:eastAsia="en-AU"/>
        </w:rPr>
        <w:br/>
        <w:t>Note: Performance targets are in development.</w:t>
      </w:r>
    </w:p>
    <w:p w14:paraId="2E8E9F79" w14:textId="4CEC7C80" w:rsidR="00960B00" w:rsidRDefault="00E57A24" w:rsidP="006F0BA9">
      <w:pPr>
        <w:pStyle w:val="Heading4"/>
      </w:pPr>
      <w:r>
        <w:t>P</w:t>
      </w:r>
      <w:r w:rsidR="004F3DAC">
        <w:t xml:space="preserve">erformance indicators for this </w:t>
      </w:r>
      <w:r w:rsidR="001C3627">
        <w:t>O</w:t>
      </w:r>
      <w:r w:rsidR="004F3DAC">
        <w:t>utcome</w:t>
      </w:r>
      <w:bookmarkEnd w:id="8"/>
      <w:bookmarkEnd w:id="10"/>
      <w:bookmarkEnd w:id="11"/>
    </w:p>
    <w:tbl>
      <w:tblPr>
        <w:tblW w:w="9656" w:type="dxa"/>
        <w:tblLook w:val="04A0" w:firstRow="1" w:lastRow="0" w:firstColumn="1" w:lastColumn="0" w:noHBand="0" w:noVBand="1"/>
        <w:tblCaption w:val="Performance indicators for this Outcome"/>
      </w:tblPr>
      <w:tblGrid>
        <w:gridCol w:w="6537"/>
        <w:gridCol w:w="737"/>
        <w:gridCol w:w="1191"/>
        <w:gridCol w:w="1191"/>
      </w:tblGrid>
      <w:tr w:rsidR="002A5CDC" w:rsidRPr="002A5CDC" w14:paraId="4A8FEDA5" w14:textId="77777777" w:rsidTr="00935D8E">
        <w:trPr>
          <w:trHeight w:val="283"/>
        </w:trPr>
        <w:tc>
          <w:tcPr>
            <w:tcW w:w="6537" w:type="dxa"/>
            <w:vMerge w:val="restart"/>
            <w:tcBorders>
              <w:top w:val="nil"/>
              <w:left w:val="nil"/>
              <w:bottom w:val="nil"/>
              <w:right w:val="nil"/>
            </w:tcBorders>
            <w:shd w:val="clear" w:color="auto" w:fill="00426F"/>
            <w:noWrap/>
            <w:vAlign w:val="center"/>
            <w:hideMark/>
          </w:tcPr>
          <w:p w14:paraId="289649BF" w14:textId="77777777" w:rsidR="002A5CDC" w:rsidRPr="0008190D" w:rsidRDefault="002A5CDC" w:rsidP="002A5CDC">
            <w:pPr>
              <w:rPr>
                <w:rFonts w:ascii="Arial" w:eastAsia="Times New Roman" w:hAnsi="Arial" w:cs="Arial"/>
                <w:b/>
                <w:bCs/>
                <w:color w:val="FFFFFF"/>
                <w:sz w:val="18"/>
                <w:szCs w:val="18"/>
                <w:lang w:eastAsia="en-AU"/>
              </w:rPr>
            </w:pPr>
            <w:r w:rsidRPr="0008190D">
              <w:rPr>
                <w:rFonts w:ascii="Arial" w:eastAsia="Times New Roman" w:hAnsi="Arial" w:cs="Arial"/>
                <w:b/>
                <w:bCs/>
                <w:color w:val="FFFFFF"/>
                <w:sz w:val="18"/>
                <w:szCs w:val="18"/>
                <w:lang w:eastAsia="en-AU"/>
              </w:rPr>
              <w:t>Outcome Indicators</w:t>
            </w:r>
          </w:p>
        </w:tc>
        <w:tc>
          <w:tcPr>
            <w:tcW w:w="737" w:type="dxa"/>
            <w:vMerge w:val="restart"/>
            <w:tcBorders>
              <w:top w:val="nil"/>
              <w:left w:val="nil"/>
              <w:bottom w:val="nil"/>
              <w:right w:val="nil"/>
            </w:tcBorders>
            <w:shd w:val="clear" w:color="auto" w:fill="00426F"/>
            <w:noWrap/>
            <w:vAlign w:val="center"/>
            <w:hideMark/>
          </w:tcPr>
          <w:p w14:paraId="2897F66F" w14:textId="77777777" w:rsidR="002A5CDC" w:rsidRPr="0008190D" w:rsidRDefault="002A5CDC" w:rsidP="002A5CDC">
            <w:pPr>
              <w:jc w:val="center"/>
              <w:rPr>
                <w:rFonts w:ascii="Arial" w:eastAsia="Times New Roman" w:hAnsi="Arial" w:cs="Arial"/>
                <w:b/>
                <w:bCs/>
                <w:color w:val="FFFFFF"/>
                <w:sz w:val="18"/>
                <w:szCs w:val="18"/>
                <w:lang w:eastAsia="en-AU"/>
              </w:rPr>
            </w:pPr>
            <w:r w:rsidRPr="0008190D">
              <w:rPr>
                <w:rFonts w:ascii="Arial" w:eastAsia="Times New Roman" w:hAnsi="Arial" w:cs="Arial"/>
                <w:b/>
                <w:bCs/>
                <w:color w:val="FFFFFF"/>
                <w:sz w:val="18"/>
                <w:szCs w:val="18"/>
                <w:lang w:eastAsia="en-AU"/>
              </w:rPr>
              <w:t>Units</w:t>
            </w:r>
          </w:p>
        </w:tc>
        <w:tc>
          <w:tcPr>
            <w:tcW w:w="1191" w:type="dxa"/>
            <w:tcBorders>
              <w:top w:val="nil"/>
              <w:left w:val="nil"/>
              <w:right w:val="nil"/>
            </w:tcBorders>
            <w:shd w:val="clear" w:color="auto" w:fill="00426F"/>
            <w:noWrap/>
            <w:vAlign w:val="bottom"/>
            <w:hideMark/>
          </w:tcPr>
          <w:p w14:paraId="68D5D631" w14:textId="77777777" w:rsidR="002A5CDC" w:rsidRPr="0008190D" w:rsidRDefault="002A5CDC" w:rsidP="0008190D">
            <w:pPr>
              <w:jc w:val="center"/>
              <w:rPr>
                <w:rFonts w:ascii="Arial" w:eastAsia="Times New Roman" w:hAnsi="Arial" w:cs="Arial"/>
                <w:b/>
                <w:bCs/>
                <w:color w:val="FFFFFF"/>
                <w:sz w:val="18"/>
                <w:szCs w:val="18"/>
                <w:lang w:eastAsia="en-AU"/>
              </w:rPr>
            </w:pPr>
            <w:r w:rsidRPr="0008190D">
              <w:rPr>
                <w:rFonts w:ascii="Arial" w:eastAsia="Times New Roman" w:hAnsi="Arial" w:cs="Arial"/>
                <w:b/>
                <w:bCs/>
                <w:color w:val="FFFFFF"/>
                <w:sz w:val="18"/>
                <w:szCs w:val="18"/>
                <w:lang w:eastAsia="en-AU"/>
              </w:rPr>
              <w:t>2019-20</w:t>
            </w:r>
          </w:p>
        </w:tc>
        <w:tc>
          <w:tcPr>
            <w:tcW w:w="1191" w:type="dxa"/>
            <w:tcBorders>
              <w:top w:val="nil"/>
              <w:left w:val="nil"/>
              <w:right w:val="nil"/>
            </w:tcBorders>
            <w:shd w:val="clear" w:color="auto" w:fill="00426F"/>
            <w:noWrap/>
            <w:vAlign w:val="bottom"/>
            <w:hideMark/>
          </w:tcPr>
          <w:p w14:paraId="6E86F5C8" w14:textId="77777777" w:rsidR="002A5CDC" w:rsidRPr="0008190D" w:rsidRDefault="002A5CDC" w:rsidP="0008190D">
            <w:pPr>
              <w:jc w:val="center"/>
              <w:rPr>
                <w:rFonts w:ascii="Arial" w:eastAsia="Times New Roman" w:hAnsi="Arial" w:cs="Arial"/>
                <w:b/>
                <w:bCs/>
                <w:color w:val="FFFFFF"/>
                <w:sz w:val="18"/>
                <w:szCs w:val="18"/>
                <w:lang w:eastAsia="en-AU"/>
              </w:rPr>
            </w:pPr>
            <w:r w:rsidRPr="0008190D">
              <w:rPr>
                <w:rFonts w:ascii="Arial" w:eastAsia="Times New Roman" w:hAnsi="Arial" w:cs="Arial"/>
                <w:b/>
                <w:bCs/>
                <w:color w:val="FFFFFF"/>
                <w:sz w:val="18"/>
                <w:szCs w:val="18"/>
                <w:lang w:eastAsia="en-AU"/>
              </w:rPr>
              <w:t>2020-21</w:t>
            </w:r>
          </w:p>
        </w:tc>
      </w:tr>
      <w:tr w:rsidR="002A5CDC" w:rsidRPr="002A5CDC" w14:paraId="368F3BED" w14:textId="77777777" w:rsidTr="0008190D">
        <w:trPr>
          <w:trHeight w:val="283"/>
        </w:trPr>
        <w:tc>
          <w:tcPr>
            <w:tcW w:w="6537" w:type="dxa"/>
            <w:vMerge/>
            <w:tcBorders>
              <w:top w:val="nil"/>
              <w:left w:val="nil"/>
              <w:bottom w:val="nil"/>
              <w:right w:val="nil"/>
            </w:tcBorders>
            <w:shd w:val="clear" w:color="auto" w:fill="00426F"/>
            <w:vAlign w:val="center"/>
            <w:hideMark/>
          </w:tcPr>
          <w:p w14:paraId="0E9CB3AD" w14:textId="77777777" w:rsidR="002A5CDC" w:rsidRPr="0008190D" w:rsidRDefault="002A5CDC" w:rsidP="002A5CDC">
            <w:pPr>
              <w:rPr>
                <w:rFonts w:ascii="Arial" w:eastAsia="Times New Roman" w:hAnsi="Arial" w:cs="Arial"/>
                <w:b/>
                <w:bCs/>
                <w:color w:val="FFFFFF"/>
                <w:sz w:val="18"/>
                <w:szCs w:val="18"/>
                <w:lang w:eastAsia="en-AU"/>
              </w:rPr>
            </w:pPr>
          </w:p>
        </w:tc>
        <w:tc>
          <w:tcPr>
            <w:tcW w:w="737" w:type="dxa"/>
            <w:vMerge/>
            <w:tcBorders>
              <w:top w:val="nil"/>
              <w:left w:val="nil"/>
              <w:bottom w:val="nil"/>
              <w:right w:val="nil"/>
            </w:tcBorders>
            <w:shd w:val="clear" w:color="auto" w:fill="00426F"/>
            <w:vAlign w:val="center"/>
            <w:hideMark/>
          </w:tcPr>
          <w:p w14:paraId="2CA5BA6E" w14:textId="77777777" w:rsidR="002A5CDC" w:rsidRPr="0008190D" w:rsidRDefault="002A5CDC" w:rsidP="002A5CDC">
            <w:pPr>
              <w:rPr>
                <w:rFonts w:ascii="Arial" w:eastAsia="Times New Roman" w:hAnsi="Arial" w:cs="Arial"/>
                <w:b/>
                <w:bCs/>
                <w:color w:val="FFFFFF"/>
                <w:sz w:val="18"/>
                <w:szCs w:val="18"/>
                <w:lang w:eastAsia="en-AU"/>
              </w:rPr>
            </w:pPr>
          </w:p>
        </w:tc>
        <w:tc>
          <w:tcPr>
            <w:tcW w:w="1191" w:type="dxa"/>
            <w:tcBorders>
              <w:top w:val="nil"/>
              <w:left w:val="nil"/>
              <w:bottom w:val="nil"/>
              <w:right w:val="nil"/>
            </w:tcBorders>
            <w:shd w:val="clear" w:color="auto" w:fill="00426F"/>
            <w:noWrap/>
            <w:hideMark/>
          </w:tcPr>
          <w:p w14:paraId="6CEDEBD8" w14:textId="77777777" w:rsidR="002A5CDC" w:rsidRPr="0008190D" w:rsidRDefault="002A5CDC" w:rsidP="0008190D">
            <w:pPr>
              <w:jc w:val="center"/>
              <w:rPr>
                <w:rFonts w:ascii="Arial" w:eastAsia="Times New Roman" w:hAnsi="Arial" w:cs="Arial"/>
                <w:b/>
                <w:bCs/>
                <w:color w:val="FFFFFF"/>
                <w:sz w:val="18"/>
                <w:szCs w:val="18"/>
                <w:lang w:eastAsia="en-AU"/>
              </w:rPr>
            </w:pPr>
            <w:r w:rsidRPr="0008190D">
              <w:rPr>
                <w:rFonts w:ascii="Arial" w:eastAsia="Times New Roman" w:hAnsi="Arial" w:cs="Arial"/>
                <w:b/>
                <w:bCs/>
                <w:color w:val="FFFFFF"/>
                <w:sz w:val="18"/>
                <w:szCs w:val="18"/>
                <w:lang w:eastAsia="en-AU"/>
              </w:rPr>
              <w:t>Actual</w:t>
            </w:r>
          </w:p>
        </w:tc>
        <w:tc>
          <w:tcPr>
            <w:tcW w:w="1191" w:type="dxa"/>
            <w:tcBorders>
              <w:top w:val="nil"/>
              <w:left w:val="nil"/>
              <w:bottom w:val="nil"/>
              <w:right w:val="nil"/>
            </w:tcBorders>
            <w:shd w:val="clear" w:color="auto" w:fill="00426F"/>
            <w:noWrap/>
            <w:hideMark/>
          </w:tcPr>
          <w:p w14:paraId="7E7DAE28" w14:textId="77777777" w:rsidR="002A5CDC" w:rsidRPr="0008190D" w:rsidRDefault="002A5CDC" w:rsidP="0008190D">
            <w:pPr>
              <w:jc w:val="center"/>
              <w:rPr>
                <w:rFonts w:ascii="Arial" w:eastAsia="Times New Roman" w:hAnsi="Arial" w:cs="Arial"/>
                <w:b/>
                <w:bCs/>
                <w:color w:val="FFFFFF"/>
                <w:sz w:val="18"/>
                <w:szCs w:val="18"/>
                <w:lang w:eastAsia="en-AU"/>
              </w:rPr>
            </w:pPr>
            <w:r w:rsidRPr="0008190D">
              <w:rPr>
                <w:rFonts w:ascii="Arial" w:eastAsia="Times New Roman" w:hAnsi="Arial" w:cs="Arial"/>
                <w:b/>
                <w:bCs/>
                <w:color w:val="FFFFFF"/>
                <w:sz w:val="18"/>
                <w:szCs w:val="18"/>
                <w:lang w:eastAsia="en-AU"/>
              </w:rPr>
              <w:t>Forecast</w:t>
            </w:r>
          </w:p>
        </w:tc>
      </w:tr>
      <w:tr w:rsidR="002A5CDC" w:rsidRPr="002A5CDC" w14:paraId="4B6BC570" w14:textId="77777777" w:rsidTr="0008190D">
        <w:trPr>
          <w:trHeight w:val="45"/>
        </w:trPr>
        <w:tc>
          <w:tcPr>
            <w:tcW w:w="6537" w:type="dxa"/>
            <w:tcBorders>
              <w:top w:val="nil"/>
              <w:left w:val="nil"/>
              <w:bottom w:val="nil"/>
              <w:right w:val="nil"/>
            </w:tcBorders>
            <w:shd w:val="clear" w:color="auto" w:fill="auto"/>
            <w:noWrap/>
            <w:vAlign w:val="center"/>
            <w:hideMark/>
          </w:tcPr>
          <w:p w14:paraId="2FFAD5A1" w14:textId="77777777" w:rsidR="002A5CDC" w:rsidRPr="002A5CDC" w:rsidRDefault="002A5CDC" w:rsidP="002A5CDC">
            <w:pPr>
              <w:jc w:val="center"/>
              <w:rPr>
                <w:rFonts w:ascii="Arial" w:eastAsia="Times New Roman" w:hAnsi="Arial" w:cs="Arial"/>
                <w:b/>
                <w:bCs/>
                <w:color w:val="FFFFFF"/>
                <w:sz w:val="16"/>
                <w:szCs w:val="16"/>
                <w:lang w:eastAsia="en-AU"/>
              </w:rPr>
            </w:pPr>
          </w:p>
        </w:tc>
        <w:tc>
          <w:tcPr>
            <w:tcW w:w="737" w:type="dxa"/>
            <w:tcBorders>
              <w:top w:val="nil"/>
              <w:left w:val="nil"/>
              <w:bottom w:val="nil"/>
              <w:right w:val="nil"/>
            </w:tcBorders>
            <w:shd w:val="clear" w:color="auto" w:fill="auto"/>
            <w:noWrap/>
            <w:vAlign w:val="center"/>
            <w:hideMark/>
          </w:tcPr>
          <w:p w14:paraId="44E255DC" w14:textId="77777777" w:rsidR="002A5CDC" w:rsidRPr="002A5CDC" w:rsidRDefault="002A5CDC" w:rsidP="002A5CDC">
            <w:pPr>
              <w:ind w:firstLineChars="100" w:firstLine="200"/>
              <w:rPr>
                <w:rFonts w:ascii="Times New Roman" w:eastAsia="Times New Roman" w:hAnsi="Times New Roman" w:cs="Times New Roman"/>
                <w:sz w:val="20"/>
                <w:szCs w:val="20"/>
                <w:lang w:eastAsia="en-AU"/>
              </w:rPr>
            </w:pPr>
          </w:p>
        </w:tc>
        <w:tc>
          <w:tcPr>
            <w:tcW w:w="1191" w:type="dxa"/>
            <w:tcBorders>
              <w:top w:val="nil"/>
              <w:left w:val="nil"/>
              <w:bottom w:val="nil"/>
              <w:right w:val="nil"/>
            </w:tcBorders>
            <w:shd w:val="clear" w:color="auto" w:fill="auto"/>
            <w:noWrap/>
            <w:vAlign w:val="center"/>
            <w:hideMark/>
          </w:tcPr>
          <w:p w14:paraId="3A04A0A1" w14:textId="77777777" w:rsidR="002A5CDC" w:rsidRPr="002A5CDC" w:rsidRDefault="002A5CDC" w:rsidP="0008190D">
            <w:pPr>
              <w:ind w:right="170"/>
              <w:jc w:val="center"/>
              <w:rPr>
                <w:rFonts w:ascii="Times New Roman" w:eastAsia="Times New Roman" w:hAnsi="Times New Roman" w:cs="Times New Roman"/>
                <w:sz w:val="20"/>
                <w:szCs w:val="20"/>
                <w:lang w:eastAsia="en-AU"/>
              </w:rPr>
            </w:pPr>
          </w:p>
        </w:tc>
        <w:tc>
          <w:tcPr>
            <w:tcW w:w="1191" w:type="dxa"/>
            <w:tcBorders>
              <w:top w:val="nil"/>
              <w:left w:val="nil"/>
              <w:bottom w:val="nil"/>
              <w:right w:val="nil"/>
            </w:tcBorders>
            <w:shd w:val="clear" w:color="auto" w:fill="auto"/>
            <w:noWrap/>
            <w:vAlign w:val="center"/>
            <w:hideMark/>
          </w:tcPr>
          <w:p w14:paraId="5E9313CF" w14:textId="77777777" w:rsidR="002A5CDC" w:rsidRPr="002A5CDC" w:rsidRDefault="002A5CDC" w:rsidP="0008190D">
            <w:pPr>
              <w:ind w:right="170"/>
              <w:jc w:val="center"/>
              <w:rPr>
                <w:rFonts w:ascii="Times New Roman" w:eastAsia="Times New Roman" w:hAnsi="Times New Roman" w:cs="Times New Roman"/>
                <w:sz w:val="20"/>
                <w:szCs w:val="20"/>
                <w:lang w:eastAsia="en-AU"/>
              </w:rPr>
            </w:pPr>
          </w:p>
        </w:tc>
      </w:tr>
      <w:tr w:rsidR="002A5CDC" w:rsidRPr="002A5CDC" w14:paraId="38E4C929" w14:textId="77777777" w:rsidTr="0008190D">
        <w:trPr>
          <w:trHeight w:val="225"/>
        </w:trPr>
        <w:tc>
          <w:tcPr>
            <w:tcW w:w="6537" w:type="dxa"/>
            <w:tcBorders>
              <w:top w:val="nil"/>
              <w:left w:val="nil"/>
              <w:bottom w:val="nil"/>
              <w:right w:val="nil"/>
            </w:tcBorders>
            <w:shd w:val="clear" w:color="000000" w:fill="FFFFFF"/>
            <w:hideMark/>
          </w:tcPr>
          <w:p w14:paraId="00824058" w14:textId="77777777" w:rsidR="002A5CDC" w:rsidRPr="002A5CDC" w:rsidRDefault="002A5CDC" w:rsidP="002A5CDC">
            <w:pPr>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NSW digital government readiness</w:t>
            </w:r>
          </w:p>
        </w:tc>
        <w:tc>
          <w:tcPr>
            <w:tcW w:w="737" w:type="dxa"/>
            <w:tcBorders>
              <w:top w:val="nil"/>
              <w:left w:val="nil"/>
              <w:bottom w:val="nil"/>
              <w:right w:val="nil"/>
            </w:tcBorders>
            <w:shd w:val="clear" w:color="000000" w:fill="FFFFFF"/>
            <w:noWrap/>
            <w:hideMark/>
          </w:tcPr>
          <w:p w14:paraId="1FEB1D9A" w14:textId="77777777" w:rsidR="002A5CDC" w:rsidRPr="002A5CDC" w:rsidRDefault="002A5CDC" w:rsidP="002A5CDC">
            <w:pPr>
              <w:jc w:val="center"/>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xml:space="preserve">no. </w:t>
            </w:r>
          </w:p>
        </w:tc>
        <w:tc>
          <w:tcPr>
            <w:tcW w:w="1191" w:type="dxa"/>
            <w:tcBorders>
              <w:top w:val="nil"/>
              <w:left w:val="nil"/>
              <w:bottom w:val="nil"/>
              <w:right w:val="nil"/>
            </w:tcBorders>
            <w:shd w:val="clear" w:color="000000" w:fill="FFFFFF"/>
            <w:noWrap/>
            <w:vAlign w:val="center"/>
            <w:hideMark/>
          </w:tcPr>
          <w:p w14:paraId="19DB682D" w14:textId="77777777" w:rsidR="002A5CDC" w:rsidRPr="002A5CDC" w:rsidRDefault="002A5CDC" w:rsidP="0008190D">
            <w:pPr>
              <w:ind w:right="170"/>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w:t>
            </w:r>
          </w:p>
        </w:tc>
        <w:tc>
          <w:tcPr>
            <w:tcW w:w="1191" w:type="dxa"/>
            <w:tcBorders>
              <w:top w:val="nil"/>
              <w:left w:val="nil"/>
              <w:bottom w:val="nil"/>
              <w:right w:val="nil"/>
            </w:tcBorders>
            <w:shd w:val="clear" w:color="000000" w:fill="FFFFFF"/>
            <w:noWrap/>
            <w:vAlign w:val="center"/>
            <w:hideMark/>
          </w:tcPr>
          <w:p w14:paraId="1138536A" w14:textId="77777777" w:rsidR="002A5CDC" w:rsidRPr="002A5CDC" w:rsidRDefault="002A5CDC" w:rsidP="0008190D">
            <w:pPr>
              <w:ind w:right="170"/>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w:t>
            </w:r>
          </w:p>
        </w:tc>
      </w:tr>
      <w:tr w:rsidR="002A5CDC" w:rsidRPr="002A5CDC" w14:paraId="29BF9AB4" w14:textId="77777777" w:rsidTr="0008190D">
        <w:trPr>
          <w:trHeight w:val="225"/>
        </w:trPr>
        <w:tc>
          <w:tcPr>
            <w:tcW w:w="6537" w:type="dxa"/>
            <w:tcBorders>
              <w:top w:val="nil"/>
              <w:left w:val="nil"/>
              <w:bottom w:val="nil"/>
              <w:right w:val="nil"/>
            </w:tcBorders>
            <w:shd w:val="clear" w:color="000000" w:fill="FFFFFF"/>
            <w:hideMark/>
          </w:tcPr>
          <w:p w14:paraId="3C05FC34" w14:textId="77777777" w:rsidR="002A5CDC" w:rsidRPr="002A5CDC" w:rsidRDefault="002A5CDC" w:rsidP="002A5CDC">
            <w:pPr>
              <w:ind w:firstLineChars="300" w:firstLine="480"/>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New South Wales</w:t>
            </w:r>
          </w:p>
        </w:tc>
        <w:tc>
          <w:tcPr>
            <w:tcW w:w="737" w:type="dxa"/>
            <w:tcBorders>
              <w:top w:val="nil"/>
              <w:left w:val="nil"/>
              <w:bottom w:val="nil"/>
              <w:right w:val="nil"/>
            </w:tcBorders>
            <w:shd w:val="clear" w:color="000000" w:fill="FFFFFF"/>
            <w:noWrap/>
            <w:hideMark/>
          </w:tcPr>
          <w:p w14:paraId="4CA93201" w14:textId="77777777" w:rsidR="002A5CDC" w:rsidRPr="002A5CDC" w:rsidRDefault="002A5CDC" w:rsidP="002A5CDC">
            <w:pPr>
              <w:jc w:val="center"/>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w:t>
            </w:r>
          </w:p>
        </w:tc>
        <w:tc>
          <w:tcPr>
            <w:tcW w:w="1191" w:type="dxa"/>
            <w:tcBorders>
              <w:top w:val="nil"/>
              <w:left w:val="nil"/>
              <w:bottom w:val="nil"/>
              <w:right w:val="nil"/>
            </w:tcBorders>
            <w:shd w:val="clear" w:color="000000" w:fill="FFFFFF"/>
            <w:noWrap/>
            <w:hideMark/>
          </w:tcPr>
          <w:p w14:paraId="11F02569" w14:textId="77777777" w:rsidR="002A5CDC" w:rsidRPr="002A5CDC" w:rsidRDefault="002A5CDC" w:rsidP="0008190D">
            <w:pPr>
              <w:ind w:right="170"/>
              <w:jc w:val="right"/>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xml:space="preserve">9.7 </w:t>
            </w:r>
          </w:p>
        </w:tc>
        <w:tc>
          <w:tcPr>
            <w:tcW w:w="1191" w:type="dxa"/>
            <w:tcBorders>
              <w:top w:val="nil"/>
              <w:left w:val="nil"/>
              <w:bottom w:val="nil"/>
              <w:right w:val="nil"/>
            </w:tcBorders>
            <w:shd w:val="clear" w:color="000000" w:fill="FFFFFF"/>
            <w:noWrap/>
            <w:hideMark/>
          </w:tcPr>
          <w:p w14:paraId="44D7E6D7" w14:textId="77777777" w:rsidR="002A5CDC" w:rsidRPr="002A5CDC" w:rsidRDefault="002A5CDC" w:rsidP="0008190D">
            <w:pPr>
              <w:ind w:right="170"/>
              <w:jc w:val="right"/>
              <w:rPr>
                <w:rFonts w:ascii="Arial" w:eastAsia="Times New Roman" w:hAnsi="Arial" w:cs="Arial"/>
                <w:color w:val="000000"/>
                <w:sz w:val="16"/>
                <w:szCs w:val="16"/>
                <w:lang w:eastAsia="en-AU"/>
              </w:rPr>
            </w:pPr>
            <w:proofErr w:type="spellStart"/>
            <w:r w:rsidRPr="002A5CDC">
              <w:rPr>
                <w:rFonts w:ascii="Arial" w:eastAsia="Times New Roman" w:hAnsi="Arial" w:cs="Arial"/>
                <w:color w:val="000000"/>
                <w:sz w:val="16"/>
                <w:szCs w:val="16"/>
                <w:lang w:eastAsia="en-AU"/>
              </w:rPr>
              <w:t>n.a.</w:t>
            </w:r>
            <w:proofErr w:type="spellEnd"/>
            <w:r w:rsidRPr="002A5CDC">
              <w:rPr>
                <w:rFonts w:ascii="Arial" w:eastAsia="Times New Roman" w:hAnsi="Arial" w:cs="Arial"/>
                <w:color w:val="000000"/>
                <w:sz w:val="16"/>
                <w:szCs w:val="16"/>
                <w:vertAlign w:val="superscript"/>
                <w:lang w:eastAsia="en-AU"/>
              </w:rPr>
              <w:t>(a)</w:t>
            </w:r>
          </w:p>
        </w:tc>
      </w:tr>
      <w:tr w:rsidR="002A5CDC" w:rsidRPr="002A5CDC" w14:paraId="19C43456" w14:textId="77777777" w:rsidTr="0008190D">
        <w:trPr>
          <w:trHeight w:val="225"/>
        </w:trPr>
        <w:tc>
          <w:tcPr>
            <w:tcW w:w="6537" w:type="dxa"/>
            <w:tcBorders>
              <w:top w:val="nil"/>
              <w:left w:val="nil"/>
              <w:bottom w:val="nil"/>
              <w:right w:val="nil"/>
            </w:tcBorders>
            <w:shd w:val="clear" w:color="000000" w:fill="FFFFFF"/>
            <w:hideMark/>
          </w:tcPr>
          <w:p w14:paraId="369EA1A4" w14:textId="77777777" w:rsidR="002A5CDC" w:rsidRPr="002A5CDC" w:rsidRDefault="002A5CDC" w:rsidP="002A5CDC">
            <w:pPr>
              <w:ind w:firstLineChars="300" w:firstLine="480"/>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Australian Government</w:t>
            </w:r>
          </w:p>
        </w:tc>
        <w:tc>
          <w:tcPr>
            <w:tcW w:w="737" w:type="dxa"/>
            <w:tcBorders>
              <w:top w:val="nil"/>
              <w:left w:val="nil"/>
              <w:bottom w:val="nil"/>
              <w:right w:val="nil"/>
            </w:tcBorders>
            <w:shd w:val="clear" w:color="000000" w:fill="FFFFFF"/>
            <w:noWrap/>
            <w:hideMark/>
          </w:tcPr>
          <w:p w14:paraId="7EABD788" w14:textId="77777777" w:rsidR="002A5CDC" w:rsidRPr="002A5CDC" w:rsidRDefault="002A5CDC" w:rsidP="002A5CDC">
            <w:pPr>
              <w:jc w:val="center"/>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w:t>
            </w:r>
          </w:p>
        </w:tc>
        <w:tc>
          <w:tcPr>
            <w:tcW w:w="1191" w:type="dxa"/>
            <w:tcBorders>
              <w:top w:val="nil"/>
              <w:left w:val="nil"/>
              <w:bottom w:val="nil"/>
              <w:right w:val="nil"/>
            </w:tcBorders>
            <w:shd w:val="clear" w:color="000000" w:fill="FFFFFF"/>
            <w:noWrap/>
            <w:hideMark/>
          </w:tcPr>
          <w:p w14:paraId="21787D23" w14:textId="77777777" w:rsidR="002A5CDC" w:rsidRPr="002A5CDC" w:rsidRDefault="002A5CDC" w:rsidP="0008190D">
            <w:pPr>
              <w:ind w:right="170"/>
              <w:jc w:val="right"/>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xml:space="preserve">9.2 </w:t>
            </w:r>
          </w:p>
        </w:tc>
        <w:tc>
          <w:tcPr>
            <w:tcW w:w="1191" w:type="dxa"/>
            <w:tcBorders>
              <w:top w:val="nil"/>
              <w:left w:val="nil"/>
              <w:bottom w:val="nil"/>
              <w:right w:val="nil"/>
            </w:tcBorders>
            <w:shd w:val="clear" w:color="000000" w:fill="FFFFFF"/>
            <w:noWrap/>
            <w:hideMark/>
          </w:tcPr>
          <w:p w14:paraId="26655D97" w14:textId="77777777" w:rsidR="002A5CDC" w:rsidRPr="002A5CDC" w:rsidRDefault="002A5CDC" w:rsidP="0008190D">
            <w:pPr>
              <w:ind w:right="170"/>
              <w:jc w:val="right"/>
              <w:rPr>
                <w:rFonts w:ascii="Arial" w:eastAsia="Times New Roman" w:hAnsi="Arial" w:cs="Arial"/>
                <w:color w:val="000000"/>
                <w:sz w:val="16"/>
                <w:szCs w:val="16"/>
                <w:lang w:eastAsia="en-AU"/>
              </w:rPr>
            </w:pPr>
            <w:proofErr w:type="spellStart"/>
            <w:r w:rsidRPr="002A5CDC">
              <w:rPr>
                <w:rFonts w:ascii="Arial" w:eastAsia="Times New Roman" w:hAnsi="Arial" w:cs="Arial"/>
                <w:color w:val="000000"/>
                <w:sz w:val="16"/>
                <w:szCs w:val="16"/>
                <w:lang w:eastAsia="en-AU"/>
              </w:rPr>
              <w:t>n.a.</w:t>
            </w:r>
            <w:proofErr w:type="spellEnd"/>
            <w:r w:rsidRPr="002A5CDC">
              <w:rPr>
                <w:rFonts w:ascii="Arial" w:eastAsia="Times New Roman" w:hAnsi="Arial" w:cs="Arial"/>
                <w:color w:val="000000"/>
                <w:sz w:val="16"/>
                <w:szCs w:val="16"/>
                <w:vertAlign w:val="superscript"/>
                <w:lang w:eastAsia="en-AU"/>
              </w:rPr>
              <w:t>(a)</w:t>
            </w:r>
          </w:p>
        </w:tc>
      </w:tr>
      <w:tr w:rsidR="002A5CDC" w:rsidRPr="002A5CDC" w14:paraId="14DDC4FA" w14:textId="77777777" w:rsidTr="0008190D">
        <w:trPr>
          <w:trHeight w:val="225"/>
        </w:trPr>
        <w:tc>
          <w:tcPr>
            <w:tcW w:w="6537" w:type="dxa"/>
            <w:tcBorders>
              <w:top w:val="nil"/>
              <w:left w:val="nil"/>
              <w:bottom w:val="nil"/>
              <w:right w:val="nil"/>
            </w:tcBorders>
            <w:shd w:val="clear" w:color="000000" w:fill="FFFFFF"/>
            <w:hideMark/>
          </w:tcPr>
          <w:p w14:paraId="17188FDA" w14:textId="77777777" w:rsidR="002A5CDC" w:rsidRPr="002A5CDC" w:rsidRDefault="002A5CDC" w:rsidP="002A5CDC">
            <w:pPr>
              <w:ind w:firstLineChars="300" w:firstLine="480"/>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Victoria</w:t>
            </w:r>
          </w:p>
        </w:tc>
        <w:tc>
          <w:tcPr>
            <w:tcW w:w="737" w:type="dxa"/>
            <w:tcBorders>
              <w:top w:val="nil"/>
              <w:left w:val="nil"/>
              <w:bottom w:val="nil"/>
              <w:right w:val="nil"/>
            </w:tcBorders>
            <w:shd w:val="clear" w:color="000000" w:fill="FFFFFF"/>
            <w:noWrap/>
            <w:hideMark/>
          </w:tcPr>
          <w:p w14:paraId="2453520C" w14:textId="77777777" w:rsidR="002A5CDC" w:rsidRPr="002A5CDC" w:rsidRDefault="002A5CDC" w:rsidP="002A5CDC">
            <w:pPr>
              <w:jc w:val="center"/>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w:t>
            </w:r>
          </w:p>
        </w:tc>
        <w:tc>
          <w:tcPr>
            <w:tcW w:w="1191" w:type="dxa"/>
            <w:tcBorders>
              <w:top w:val="nil"/>
              <w:left w:val="nil"/>
              <w:bottom w:val="nil"/>
              <w:right w:val="nil"/>
            </w:tcBorders>
            <w:shd w:val="clear" w:color="000000" w:fill="FFFFFF"/>
            <w:noWrap/>
            <w:hideMark/>
          </w:tcPr>
          <w:p w14:paraId="2B7F6483" w14:textId="77777777" w:rsidR="002A5CDC" w:rsidRPr="002A5CDC" w:rsidRDefault="002A5CDC" w:rsidP="0008190D">
            <w:pPr>
              <w:ind w:right="170"/>
              <w:jc w:val="right"/>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xml:space="preserve">8.8 </w:t>
            </w:r>
          </w:p>
        </w:tc>
        <w:tc>
          <w:tcPr>
            <w:tcW w:w="1191" w:type="dxa"/>
            <w:tcBorders>
              <w:top w:val="nil"/>
              <w:left w:val="nil"/>
              <w:bottom w:val="nil"/>
              <w:right w:val="nil"/>
            </w:tcBorders>
            <w:shd w:val="clear" w:color="000000" w:fill="FFFFFF"/>
            <w:noWrap/>
            <w:hideMark/>
          </w:tcPr>
          <w:p w14:paraId="513FBA60" w14:textId="77777777" w:rsidR="002A5CDC" w:rsidRPr="002A5CDC" w:rsidRDefault="002A5CDC" w:rsidP="0008190D">
            <w:pPr>
              <w:ind w:right="170"/>
              <w:jc w:val="right"/>
              <w:rPr>
                <w:rFonts w:ascii="Arial" w:eastAsia="Times New Roman" w:hAnsi="Arial" w:cs="Arial"/>
                <w:color w:val="000000"/>
                <w:sz w:val="16"/>
                <w:szCs w:val="16"/>
                <w:lang w:eastAsia="en-AU"/>
              </w:rPr>
            </w:pPr>
            <w:proofErr w:type="spellStart"/>
            <w:r w:rsidRPr="002A5CDC">
              <w:rPr>
                <w:rFonts w:ascii="Arial" w:eastAsia="Times New Roman" w:hAnsi="Arial" w:cs="Arial"/>
                <w:color w:val="000000"/>
                <w:sz w:val="16"/>
                <w:szCs w:val="16"/>
                <w:lang w:eastAsia="en-AU"/>
              </w:rPr>
              <w:t>n.a.</w:t>
            </w:r>
            <w:proofErr w:type="spellEnd"/>
            <w:r w:rsidRPr="002A5CDC">
              <w:rPr>
                <w:rFonts w:ascii="Arial" w:eastAsia="Times New Roman" w:hAnsi="Arial" w:cs="Arial"/>
                <w:color w:val="000000"/>
                <w:sz w:val="16"/>
                <w:szCs w:val="16"/>
                <w:vertAlign w:val="superscript"/>
                <w:lang w:eastAsia="en-AU"/>
              </w:rPr>
              <w:t>(a)</w:t>
            </w:r>
          </w:p>
        </w:tc>
      </w:tr>
      <w:tr w:rsidR="002A5CDC" w:rsidRPr="002A5CDC" w14:paraId="45F6BE96" w14:textId="77777777" w:rsidTr="0008190D">
        <w:trPr>
          <w:trHeight w:val="225"/>
        </w:trPr>
        <w:tc>
          <w:tcPr>
            <w:tcW w:w="6537" w:type="dxa"/>
            <w:tcBorders>
              <w:top w:val="nil"/>
              <w:left w:val="nil"/>
              <w:bottom w:val="nil"/>
              <w:right w:val="nil"/>
            </w:tcBorders>
            <w:shd w:val="clear" w:color="000000" w:fill="FFFFFF"/>
            <w:hideMark/>
          </w:tcPr>
          <w:p w14:paraId="1ADA64F8" w14:textId="77777777" w:rsidR="002A5CDC" w:rsidRPr="002A5CDC" w:rsidRDefault="002A5CDC" w:rsidP="002A5CDC">
            <w:pPr>
              <w:ind w:firstLineChars="300" w:firstLine="480"/>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Queensland</w:t>
            </w:r>
          </w:p>
        </w:tc>
        <w:tc>
          <w:tcPr>
            <w:tcW w:w="737" w:type="dxa"/>
            <w:tcBorders>
              <w:top w:val="nil"/>
              <w:left w:val="nil"/>
              <w:bottom w:val="nil"/>
              <w:right w:val="nil"/>
            </w:tcBorders>
            <w:shd w:val="clear" w:color="000000" w:fill="FFFFFF"/>
            <w:noWrap/>
            <w:hideMark/>
          </w:tcPr>
          <w:p w14:paraId="47602FC5" w14:textId="77777777" w:rsidR="002A5CDC" w:rsidRPr="002A5CDC" w:rsidRDefault="002A5CDC" w:rsidP="002A5CDC">
            <w:pPr>
              <w:jc w:val="center"/>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w:t>
            </w:r>
          </w:p>
        </w:tc>
        <w:tc>
          <w:tcPr>
            <w:tcW w:w="1191" w:type="dxa"/>
            <w:tcBorders>
              <w:top w:val="nil"/>
              <w:left w:val="nil"/>
              <w:bottom w:val="nil"/>
              <w:right w:val="nil"/>
            </w:tcBorders>
            <w:shd w:val="clear" w:color="000000" w:fill="FFFFFF"/>
            <w:noWrap/>
            <w:hideMark/>
          </w:tcPr>
          <w:p w14:paraId="501582D0" w14:textId="77777777" w:rsidR="002A5CDC" w:rsidRPr="002A5CDC" w:rsidRDefault="002A5CDC" w:rsidP="0008190D">
            <w:pPr>
              <w:ind w:right="170"/>
              <w:jc w:val="right"/>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xml:space="preserve">8.7 </w:t>
            </w:r>
          </w:p>
        </w:tc>
        <w:tc>
          <w:tcPr>
            <w:tcW w:w="1191" w:type="dxa"/>
            <w:tcBorders>
              <w:top w:val="nil"/>
              <w:left w:val="nil"/>
              <w:bottom w:val="nil"/>
              <w:right w:val="nil"/>
            </w:tcBorders>
            <w:shd w:val="clear" w:color="000000" w:fill="FFFFFF"/>
            <w:noWrap/>
            <w:hideMark/>
          </w:tcPr>
          <w:p w14:paraId="64485521" w14:textId="77777777" w:rsidR="002A5CDC" w:rsidRPr="002A5CDC" w:rsidRDefault="002A5CDC" w:rsidP="0008190D">
            <w:pPr>
              <w:ind w:right="170"/>
              <w:jc w:val="right"/>
              <w:rPr>
                <w:rFonts w:ascii="Arial" w:eastAsia="Times New Roman" w:hAnsi="Arial" w:cs="Arial"/>
                <w:color w:val="000000"/>
                <w:sz w:val="16"/>
                <w:szCs w:val="16"/>
                <w:lang w:eastAsia="en-AU"/>
              </w:rPr>
            </w:pPr>
            <w:proofErr w:type="spellStart"/>
            <w:r w:rsidRPr="002A5CDC">
              <w:rPr>
                <w:rFonts w:ascii="Arial" w:eastAsia="Times New Roman" w:hAnsi="Arial" w:cs="Arial"/>
                <w:color w:val="000000"/>
                <w:sz w:val="16"/>
                <w:szCs w:val="16"/>
                <w:lang w:eastAsia="en-AU"/>
              </w:rPr>
              <w:t>n.a.</w:t>
            </w:r>
            <w:proofErr w:type="spellEnd"/>
            <w:r w:rsidRPr="002A5CDC">
              <w:rPr>
                <w:rFonts w:ascii="Arial" w:eastAsia="Times New Roman" w:hAnsi="Arial" w:cs="Arial"/>
                <w:color w:val="000000"/>
                <w:sz w:val="16"/>
                <w:szCs w:val="16"/>
                <w:vertAlign w:val="superscript"/>
                <w:lang w:eastAsia="en-AU"/>
              </w:rPr>
              <w:t>(a)</w:t>
            </w:r>
          </w:p>
        </w:tc>
      </w:tr>
      <w:tr w:rsidR="002A5CDC" w:rsidRPr="002A5CDC" w14:paraId="1C699619" w14:textId="77777777" w:rsidTr="0008190D">
        <w:trPr>
          <w:trHeight w:val="225"/>
        </w:trPr>
        <w:tc>
          <w:tcPr>
            <w:tcW w:w="6537" w:type="dxa"/>
            <w:tcBorders>
              <w:top w:val="nil"/>
              <w:left w:val="nil"/>
              <w:bottom w:val="nil"/>
              <w:right w:val="nil"/>
            </w:tcBorders>
            <w:shd w:val="clear" w:color="000000" w:fill="FFFFFF"/>
            <w:hideMark/>
          </w:tcPr>
          <w:p w14:paraId="25FA540A" w14:textId="77777777" w:rsidR="002A5CDC" w:rsidRPr="002A5CDC" w:rsidRDefault="002A5CDC" w:rsidP="002A5CDC">
            <w:pPr>
              <w:ind w:firstLineChars="300" w:firstLine="480"/>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South Australia</w:t>
            </w:r>
          </w:p>
        </w:tc>
        <w:tc>
          <w:tcPr>
            <w:tcW w:w="737" w:type="dxa"/>
            <w:tcBorders>
              <w:top w:val="nil"/>
              <w:left w:val="nil"/>
              <w:bottom w:val="nil"/>
              <w:right w:val="nil"/>
            </w:tcBorders>
            <w:shd w:val="clear" w:color="000000" w:fill="FFFFFF"/>
            <w:noWrap/>
            <w:hideMark/>
          </w:tcPr>
          <w:p w14:paraId="0F76CB6B" w14:textId="77777777" w:rsidR="002A5CDC" w:rsidRPr="002A5CDC" w:rsidRDefault="002A5CDC" w:rsidP="002A5CDC">
            <w:pPr>
              <w:jc w:val="center"/>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w:t>
            </w:r>
          </w:p>
        </w:tc>
        <w:tc>
          <w:tcPr>
            <w:tcW w:w="1191" w:type="dxa"/>
            <w:tcBorders>
              <w:top w:val="nil"/>
              <w:left w:val="nil"/>
              <w:bottom w:val="nil"/>
              <w:right w:val="nil"/>
            </w:tcBorders>
            <w:shd w:val="clear" w:color="000000" w:fill="FFFFFF"/>
            <w:noWrap/>
            <w:hideMark/>
          </w:tcPr>
          <w:p w14:paraId="5B667BCC" w14:textId="77777777" w:rsidR="002A5CDC" w:rsidRPr="002A5CDC" w:rsidRDefault="002A5CDC" w:rsidP="0008190D">
            <w:pPr>
              <w:ind w:right="170"/>
              <w:jc w:val="right"/>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xml:space="preserve">8.5 </w:t>
            </w:r>
          </w:p>
        </w:tc>
        <w:tc>
          <w:tcPr>
            <w:tcW w:w="1191" w:type="dxa"/>
            <w:tcBorders>
              <w:top w:val="nil"/>
              <w:left w:val="nil"/>
              <w:bottom w:val="nil"/>
              <w:right w:val="nil"/>
            </w:tcBorders>
            <w:shd w:val="clear" w:color="000000" w:fill="FFFFFF"/>
            <w:noWrap/>
            <w:hideMark/>
          </w:tcPr>
          <w:p w14:paraId="05A8163B" w14:textId="77777777" w:rsidR="002A5CDC" w:rsidRPr="002A5CDC" w:rsidRDefault="002A5CDC" w:rsidP="0008190D">
            <w:pPr>
              <w:ind w:right="170"/>
              <w:jc w:val="right"/>
              <w:rPr>
                <w:rFonts w:ascii="Arial" w:eastAsia="Times New Roman" w:hAnsi="Arial" w:cs="Arial"/>
                <w:color w:val="000000"/>
                <w:sz w:val="16"/>
                <w:szCs w:val="16"/>
                <w:lang w:eastAsia="en-AU"/>
              </w:rPr>
            </w:pPr>
            <w:proofErr w:type="spellStart"/>
            <w:r w:rsidRPr="002A5CDC">
              <w:rPr>
                <w:rFonts w:ascii="Arial" w:eastAsia="Times New Roman" w:hAnsi="Arial" w:cs="Arial"/>
                <w:color w:val="000000"/>
                <w:sz w:val="16"/>
                <w:szCs w:val="16"/>
                <w:lang w:eastAsia="en-AU"/>
              </w:rPr>
              <w:t>n.a.</w:t>
            </w:r>
            <w:proofErr w:type="spellEnd"/>
            <w:r w:rsidRPr="002A5CDC">
              <w:rPr>
                <w:rFonts w:ascii="Arial" w:eastAsia="Times New Roman" w:hAnsi="Arial" w:cs="Arial"/>
                <w:color w:val="000000"/>
                <w:sz w:val="16"/>
                <w:szCs w:val="16"/>
                <w:vertAlign w:val="superscript"/>
                <w:lang w:eastAsia="en-AU"/>
              </w:rPr>
              <w:t>(a)</w:t>
            </w:r>
          </w:p>
        </w:tc>
      </w:tr>
      <w:tr w:rsidR="002A5CDC" w:rsidRPr="002A5CDC" w14:paraId="2946D03F" w14:textId="77777777" w:rsidTr="0008190D">
        <w:trPr>
          <w:trHeight w:val="225"/>
        </w:trPr>
        <w:tc>
          <w:tcPr>
            <w:tcW w:w="6537" w:type="dxa"/>
            <w:tcBorders>
              <w:top w:val="nil"/>
              <w:left w:val="nil"/>
              <w:bottom w:val="nil"/>
              <w:right w:val="nil"/>
            </w:tcBorders>
            <w:shd w:val="clear" w:color="000000" w:fill="FFFFFF"/>
            <w:hideMark/>
          </w:tcPr>
          <w:p w14:paraId="19B00D8F" w14:textId="77777777" w:rsidR="002A5CDC" w:rsidRPr="002A5CDC" w:rsidRDefault="002A5CDC" w:rsidP="002A5CDC">
            <w:pPr>
              <w:ind w:firstLineChars="300" w:firstLine="480"/>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Northern Territory</w:t>
            </w:r>
          </w:p>
        </w:tc>
        <w:tc>
          <w:tcPr>
            <w:tcW w:w="737" w:type="dxa"/>
            <w:tcBorders>
              <w:top w:val="nil"/>
              <w:left w:val="nil"/>
              <w:bottom w:val="nil"/>
              <w:right w:val="nil"/>
            </w:tcBorders>
            <w:shd w:val="clear" w:color="000000" w:fill="FFFFFF"/>
            <w:noWrap/>
            <w:hideMark/>
          </w:tcPr>
          <w:p w14:paraId="1204DD93" w14:textId="77777777" w:rsidR="002A5CDC" w:rsidRPr="002A5CDC" w:rsidRDefault="002A5CDC" w:rsidP="002A5CDC">
            <w:pPr>
              <w:jc w:val="center"/>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w:t>
            </w:r>
          </w:p>
        </w:tc>
        <w:tc>
          <w:tcPr>
            <w:tcW w:w="1191" w:type="dxa"/>
            <w:tcBorders>
              <w:top w:val="nil"/>
              <w:left w:val="nil"/>
              <w:bottom w:val="nil"/>
              <w:right w:val="nil"/>
            </w:tcBorders>
            <w:shd w:val="clear" w:color="000000" w:fill="FFFFFF"/>
            <w:noWrap/>
            <w:hideMark/>
          </w:tcPr>
          <w:p w14:paraId="5FB513D6" w14:textId="77777777" w:rsidR="002A5CDC" w:rsidRPr="002A5CDC" w:rsidRDefault="002A5CDC" w:rsidP="0008190D">
            <w:pPr>
              <w:ind w:right="170"/>
              <w:jc w:val="right"/>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xml:space="preserve">8.0 </w:t>
            </w:r>
          </w:p>
        </w:tc>
        <w:tc>
          <w:tcPr>
            <w:tcW w:w="1191" w:type="dxa"/>
            <w:tcBorders>
              <w:top w:val="nil"/>
              <w:left w:val="nil"/>
              <w:bottom w:val="nil"/>
              <w:right w:val="nil"/>
            </w:tcBorders>
            <w:shd w:val="clear" w:color="000000" w:fill="FFFFFF"/>
            <w:noWrap/>
            <w:hideMark/>
          </w:tcPr>
          <w:p w14:paraId="40C6E4DD" w14:textId="77777777" w:rsidR="002A5CDC" w:rsidRPr="002A5CDC" w:rsidRDefault="002A5CDC" w:rsidP="0008190D">
            <w:pPr>
              <w:ind w:right="170"/>
              <w:jc w:val="right"/>
              <w:rPr>
                <w:rFonts w:ascii="Arial" w:eastAsia="Times New Roman" w:hAnsi="Arial" w:cs="Arial"/>
                <w:color w:val="000000"/>
                <w:sz w:val="16"/>
                <w:szCs w:val="16"/>
                <w:lang w:eastAsia="en-AU"/>
              </w:rPr>
            </w:pPr>
            <w:proofErr w:type="spellStart"/>
            <w:r w:rsidRPr="002A5CDC">
              <w:rPr>
                <w:rFonts w:ascii="Arial" w:eastAsia="Times New Roman" w:hAnsi="Arial" w:cs="Arial"/>
                <w:color w:val="000000"/>
                <w:sz w:val="16"/>
                <w:szCs w:val="16"/>
                <w:lang w:eastAsia="en-AU"/>
              </w:rPr>
              <w:t>n.a.</w:t>
            </w:r>
            <w:proofErr w:type="spellEnd"/>
            <w:r w:rsidRPr="002A5CDC">
              <w:rPr>
                <w:rFonts w:ascii="Arial" w:eastAsia="Times New Roman" w:hAnsi="Arial" w:cs="Arial"/>
                <w:color w:val="000000"/>
                <w:sz w:val="16"/>
                <w:szCs w:val="16"/>
                <w:vertAlign w:val="superscript"/>
                <w:lang w:eastAsia="en-AU"/>
              </w:rPr>
              <w:t>(a)</w:t>
            </w:r>
          </w:p>
        </w:tc>
      </w:tr>
      <w:tr w:rsidR="002A5CDC" w:rsidRPr="002A5CDC" w14:paraId="7D86CE7B" w14:textId="77777777" w:rsidTr="0008190D">
        <w:trPr>
          <w:trHeight w:val="225"/>
        </w:trPr>
        <w:tc>
          <w:tcPr>
            <w:tcW w:w="6537" w:type="dxa"/>
            <w:tcBorders>
              <w:top w:val="nil"/>
              <w:left w:val="nil"/>
              <w:bottom w:val="nil"/>
              <w:right w:val="nil"/>
            </w:tcBorders>
            <w:shd w:val="clear" w:color="000000" w:fill="FFFFFF"/>
            <w:hideMark/>
          </w:tcPr>
          <w:p w14:paraId="1CAFD230" w14:textId="77777777" w:rsidR="002A5CDC" w:rsidRPr="002A5CDC" w:rsidRDefault="002A5CDC" w:rsidP="002A5CDC">
            <w:pPr>
              <w:ind w:firstLineChars="300" w:firstLine="480"/>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Australian Capital Territory</w:t>
            </w:r>
          </w:p>
        </w:tc>
        <w:tc>
          <w:tcPr>
            <w:tcW w:w="737" w:type="dxa"/>
            <w:tcBorders>
              <w:top w:val="nil"/>
              <w:left w:val="nil"/>
              <w:bottom w:val="nil"/>
              <w:right w:val="nil"/>
            </w:tcBorders>
            <w:shd w:val="clear" w:color="000000" w:fill="FFFFFF"/>
            <w:noWrap/>
            <w:hideMark/>
          </w:tcPr>
          <w:p w14:paraId="201F31FD" w14:textId="77777777" w:rsidR="002A5CDC" w:rsidRPr="002A5CDC" w:rsidRDefault="002A5CDC" w:rsidP="002A5CDC">
            <w:pPr>
              <w:jc w:val="center"/>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w:t>
            </w:r>
          </w:p>
        </w:tc>
        <w:tc>
          <w:tcPr>
            <w:tcW w:w="1191" w:type="dxa"/>
            <w:tcBorders>
              <w:top w:val="nil"/>
              <w:left w:val="nil"/>
              <w:bottom w:val="nil"/>
              <w:right w:val="nil"/>
            </w:tcBorders>
            <w:shd w:val="clear" w:color="000000" w:fill="FFFFFF"/>
            <w:noWrap/>
            <w:hideMark/>
          </w:tcPr>
          <w:p w14:paraId="67CD7360" w14:textId="77777777" w:rsidR="002A5CDC" w:rsidRPr="002A5CDC" w:rsidRDefault="002A5CDC" w:rsidP="0008190D">
            <w:pPr>
              <w:ind w:right="170"/>
              <w:jc w:val="right"/>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xml:space="preserve">7.9 </w:t>
            </w:r>
          </w:p>
        </w:tc>
        <w:tc>
          <w:tcPr>
            <w:tcW w:w="1191" w:type="dxa"/>
            <w:tcBorders>
              <w:top w:val="nil"/>
              <w:left w:val="nil"/>
              <w:bottom w:val="nil"/>
              <w:right w:val="nil"/>
            </w:tcBorders>
            <w:shd w:val="clear" w:color="000000" w:fill="FFFFFF"/>
            <w:noWrap/>
            <w:hideMark/>
          </w:tcPr>
          <w:p w14:paraId="4FD01A1E" w14:textId="77777777" w:rsidR="002A5CDC" w:rsidRPr="002A5CDC" w:rsidRDefault="002A5CDC" w:rsidP="0008190D">
            <w:pPr>
              <w:ind w:right="170"/>
              <w:jc w:val="right"/>
              <w:rPr>
                <w:rFonts w:ascii="Arial" w:eastAsia="Times New Roman" w:hAnsi="Arial" w:cs="Arial"/>
                <w:color w:val="000000"/>
                <w:sz w:val="16"/>
                <w:szCs w:val="16"/>
                <w:lang w:eastAsia="en-AU"/>
              </w:rPr>
            </w:pPr>
            <w:proofErr w:type="spellStart"/>
            <w:r w:rsidRPr="002A5CDC">
              <w:rPr>
                <w:rFonts w:ascii="Arial" w:eastAsia="Times New Roman" w:hAnsi="Arial" w:cs="Arial"/>
                <w:color w:val="000000"/>
                <w:sz w:val="16"/>
                <w:szCs w:val="16"/>
                <w:lang w:eastAsia="en-AU"/>
              </w:rPr>
              <w:t>n.a.</w:t>
            </w:r>
            <w:proofErr w:type="spellEnd"/>
            <w:r w:rsidRPr="002A5CDC">
              <w:rPr>
                <w:rFonts w:ascii="Arial" w:eastAsia="Times New Roman" w:hAnsi="Arial" w:cs="Arial"/>
                <w:color w:val="000000"/>
                <w:sz w:val="16"/>
                <w:szCs w:val="16"/>
                <w:vertAlign w:val="superscript"/>
                <w:lang w:eastAsia="en-AU"/>
              </w:rPr>
              <w:t>(a)</w:t>
            </w:r>
          </w:p>
        </w:tc>
      </w:tr>
      <w:tr w:rsidR="002A5CDC" w:rsidRPr="002A5CDC" w14:paraId="7D77834C" w14:textId="77777777" w:rsidTr="0008190D">
        <w:trPr>
          <w:trHeight w:val="225"/>
        </w:trPr>
        <w:tc>
          <w:tcPr>
            <w:tcW w:w="6537" w:type="dxa"/>
            <w:tcBorders>
              <w:top w:val="nil"/>
              <w:left w:val="nil"/>
              <w:bottom w:val="nil"/>
              <w:right w:val="nil"/>
            </w:tcBorders>
            <w:shd w:val="clear" w:color="000000" w:fill="FFFFFF"/>
            <w:hideMark/>
          </w:tcPr>
          <w:p w14:paraId="37AC3FDE" w14:textId="77777777" w:rsidR="002A5CDC" w:rsidRPr="002A5CDC" w:rsidRDefault="002A5CDC" w:rsidP="002A5CDC">
            <w:pPr>
              <w:ind w:firstLineChars="300" w:firstLine="480"/>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Western Australia</w:t>
            </w:r>
          </w:p>
        </w:tc>
        <w:tc>
          <w:tcPr>
            <w:tcW w:w="737" w:type="dxa"/>
            <w:tcBorders>
              <w:top w:val="nil"/>
              <w:left w:val="nil"/>
              <w:bottom w:val="nil"/>
              <w:right w:val="nil"/>
            </w:tcBorders>
            <w:shd w:val="clear" w:color="000000" w:fill="FFFFFF"/>
            <w:noWrap/>
            <w:hideMark/>
          </w:tcPr>
          <w:p w14:paraId="661AF2CD" w14:textId="77777777" w:rsidR="002A5CDC" w:rsidRPr="002A5CDC" w:rsidRDefault="002A5CDC" w:rsidP="002A5CDC">
            <w:pPr>
              <w:jc w:val="center"/>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w:t>
            </w:r>
          </w:p>
        </w:tc>
        <w:tc>
          <w:tcPr>
            <w:tcW w:w="1191" w:type="dxa"/>
            <w:tcBorders>
              <w:top w:val="nil"/>
              <w:left w:val="nil"/>
              <w:bottom w:val="nil"/>
              <w:right w:val="nil"/>
            </w:tcBorders>
            <w:shd w:val="clear" w:color="000000" w:fill="FFFFFF"/>
            <w:noWrap/>
            <w:hideMark/>
          </w:tcPr>
          <w:p w14:paraId="32E1836E" w14:textId="77777777" w:rsidR="002A5CDC" w:rsidRPr="002A5CDC" w:rsidRDefault="002A5CDC" w:rsidP="0008190D">
            <w:pPr>
              <w:ind w:right="170"/>
              <w:jc w:val="right"/>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xml:space="preserve">7.4 </w:t>
            </w:r>
          </w:p>
        </w:tc>
        <w:tc>
          <w:tcPr>
            <w:tcW w:w="1191" w:type="dxa"/>
            <w:tcBorders>
              <w:top w:val="nil"/>
              <w:left w:val="nil"/>
              <w:bottom w:val="nil"/>
              <w:right w:val="nil"/>
            </w:tcBorders>
            <w:shd w:val="clear" w:color="000000" w:fill="FFFFFF"/>
            <w:noWrap/>
            <w:hideMark/>
          </w:tcPr>
          <w:p w14:paraId="107BEE74" w14:textId="77777777" w:rsidR="002A5CDC" w:rsidRPr="002A5CDC" w:rsidRDefault="002A5CDC" w:rsidP="0008190D">
            <w:pPr>
              <w:ind w:right="170"/>
              <w:jc w:val="right"/>
              <w:rPr>
                <w:rFonts w:ascii="Arial" w:eastAsia="Times New Roman" w:hAnsi="Arial" w:cs="Arial"/>
                <w:color w:val="000000"/>
                <w:sz w:val="16"/>
                <w:szCs w:val="16"/>
                <w:lang w:eastAsia="en-AU"/>
              </w:rPr>
            </w:pPr>
            <w:proofErr w:type="spellStart"/>
            <w:r w:rsidRPr="002A5CDC">
              <w:rPr>
                <w:rFonts w:ascii="Arial" w:eastAsia="Times New Roman" w:hAnsi="Arial" w:cs="Arial"/>
                <w:color w:val="000000"/>
                <w:sz w:val="16"/>
                <w:szCs w:val="16"/>
                <w:lang w:eastAsia="en-AU"/>
              </w:rPr>
              <w:t>n.a.</w:t>
            </w:r>
            <w:proofErr w:type="spellEnd"/>
            <w:r w:rsidRPr="002A5CDC">
              <w:rPr>
                <w:rFonts w:ascii="Arial" w:eastAsia="Times New Roman" w:hAnsi="Arial" w:cs="Arial"/>
                <w:color w:val="000000"/>
                <w:sz w:val="16"/>
                <w:szCs w:val="16"/>
                <w:vertAlign w:val="superscript"/>
                <w:lang w:eastAsia="en-AU"/>
              </w:rPr>
              <w:t>(a)</w:t>
            </w:r>
          </w:p>
        </w:tc>
      </w:tr>
      <w:tr w:rsidR="002A5CDC" w:rsidRPr="002A5CDC" w14:paraId="602FF5C1" w14:textId="77777777" w:rsidTr="0008190D">
        <w:trPr>
          <w:trHeight w:val="225"/>
        </w:trPr>
        <w:tc>
          <w:tcPr>
            <w:tcW w:w="6537" w:type="dxa"/>
            <w:tcBorders>
              <w:top w:val="nil"/>
              <w:left w:val="nil"/>
              <w:bottom w:val="nil"/>
              <w:right w:val="nil"/>
            </w:tcBorders>
            <w:shd w:val="clear" w:color="000000" w:fill="FFFFFF"/>
            <w:hideMark/>
          </w:tcPr>
          <w:p w14:paraId="6CF4EC6C" w14:textId="77777777" w:rsidR="002A5CDC" w:rsidRPr="002A5CDC" w:rsidRDefault="002A5CDC" w:rsidP="002A5CDC">
            <w:pPr>
              <w:ind w:firstLineChars="300" w:firstLine="480"/>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Tasmania</w:t>
            </w:r>
          </w:p>
        </w:tc>
        <w:tc>
          <w:tcPr>
            <w:tcW w:w="737" w:type="dxa"/>
            <w:tcBorders>
              <w:top w:val="nil"/>
              <w:left w:val="nil"/>
              <w:bottom w:val="nil"/>
              <w:right w:val="nil"/>
            </w:tcBorders>
            <w:shd w:val="clear" w:color="000000" w:fill="FFFFFF"/>
            <w:noWrap/>
            <w:hideMark/>
          </w:tcPr>
          <w:p w14:paraId="0B1EE825" w14:textId="77777777" w:rsidR="002A5CDC" w:rsidRPr="002A5CDC" w:rsidRDefault="002A5CDC" w:rsidP="002A5CDC">
            <w:pPr>
              <w:jc w:val="center"/>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w:t>
            </w:r>
          </w:p>
        </w:tc>
        <w:tc>
          <w:tcPr>
            <w:tcW w:w="1191" w:type="dxa"/>
            <w:tcBorders>
              <w:top w:val="nil"/>
              <w:left w:val="nil"/>
              <w:bottom w:val="nil"/>
              <w:right w:val="nil"/>
            </w:tcBorders>
            <w:shd w:val="clear" w:color="000000" w:fill="FFFFFF"/>
            <w:noWrap/>
            <w:hideMark/>
          </w:tcPr>
          <w:p w14:paraId="3BBC7F20" w14:textId="77777777" w:rsidR="002A5CDC" w:rsidRPr="002A5CDC" w:rsidRDefault="002A5CDC" w:rsidP="0008190D">
            <w:pPr>
              <w:ind w:right="170"/>
              <w:jc w:val="right"/>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xml:space="preserve">7.0 </w:t>
            </w:r>
          </w:p>
        </w:tc>
        <w:tc>
          <w:tcPr>
            <w:tcW w:w="1191" w:type="dxa"/>
            <w:tcBorders>
              <w:top w:val="nil"/>
              <w:left w:val="nil"/>
              <w:bottom w:val="nil"/>
              <w:right w:val="nil"/>
            </w:tcBorders>
            <w:shd w:val="clear" w:color="000000" w:fill="FFFFFF"/>
            <w:noWrap/>
            <w:hideMark/>
          </w:tcPr>
          <w:p w14:paraId="4965C47E" w14:textId="77777777" w:rsidR="002A5CDC" w:rsidRPr="002A5CDC" w:rsidRDefault="002A5CDC" w:rsidP="0008190D">
            <w:pPr>
              <w:ind w:right="170"/>
              <w:jc w:val="right"/>
              <w:rPr>
                <w:rFonts w:ascii="Arial" w:eastAsia="Times New Roman" w:hAnsi="Arial" w:cs="Arial"/>
                <w:color w:val="000000"/>
                <w:sz w:val="16"/>
                <w:szCs w:val="16"/>
                <w:lang w:eastAsia="en-AU"/>
              </w:rPr>
            </w:pPr>
            <w:proofErr w:type="spellStart"/>
            <w:r w:rsidRPr="002A5CDC">
              <w:rPr>
                <w:rFonts w:ascii="Arial" w:eastAsia="Times New Roman" w:hAnsi="Arial" w:cs="Arial"/>
                <w:color w:val="000000"/>
                <w:sz w:val="16"/>
                <w:szCs w:val="16"/>
                <w:lang w:eastAsia="en-AU"/>
              </w:rPr>
              <w:t>n.a.</w:t>
            </w:r>
            <w:proofErr w:type="spellEnd"/>
            <w:r w:rsidRPr="002A5CDC">
              <w:rPr>
                <w:rFonts w:ascii="Arial" w:eastAsia="Times New Roman" w:hAnsi="Arial" w:cs="Arial"/>
                <w:color w:val="000000"/>
                <w:sz w:val="16"/>
                <w:szCs w:val="16"/>
                <w:vertAlign w:val="superscript"/>
                <w:lang w:eastAsia="en-AU"/>
              </w:rPr>
              <w:t>(a)</w:t>
            </w:r>
          </w:p>
        </w:tc>
      </w:tr>
      <w:tr w:rsidR="002A5CDC" w:rsidRPr="002A5CDC" w14:paraId="082B83AF" w14:textId="77777777" w:rsidTr="0008190D">
        <w:trPr>
          <w:trHeight w:val="225"/>
        </w:trPr>
        <w:tc>
          <w:tcPr>
            <w:tcW w:w="6537" w:type="dxa"/>
            <w:tcBorders>
              <w:top w:val="nil"/>
              <w:left w:val="nil"/>
              <w:bottom w:val="nil"/>
              <w:right w:val="nil"/>
            </w:tcBorders>
            <w:shd w:val="clear" w:color="000000" w:fill="FFFFFF"/>
            <w:hideMark/>
          </w:tcPr>
          <w:p w14:paraId="2AF3E11B" w14:textId="77777777" w:rsidR="002A5CDC" w:rsidRPr="002A5CDC" w:rsidRDefault="002A5CDC" w:rsidP="002A5CDC">
            <w:pPr>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Public safety coverage and operations of the CCEP</w:t>
            </w:r>
          </w:p>
        </w:tc>
        <w:tc>
          <w:tcPr>
            <w:tcW w:w="737" w:type="dxa"/>
            <w:tcBorders>
              <w:top w:val="nil"/>
              <w:left w:val="nil"/>
              <w:bottom w:val="nil"/>
              <w:right w:val="nil"/>
            </w:tcBorders>
            <w:shd w:val="clear" w:color="000000" w:fill="FFFFFF"/>
            <w:noWrap/>
            <w:hideMark/>
          </w:tcPr>
          <w:p w14:paraId="690F832D" w14:textId="77777777" w:rsidR="002A5CDC" w:rsidRPr="002A5CDC" w:rsidRDefault="002A5CDC" w:rsidP="002A5CDC">
            <w:pPr>
              <w:jc w:val="center"/>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000000" w:fill="FFFFFF"/>
            <w:noWrap/>
            <w:hideMark/>
          </w:tcPr>
          <w:p w14:paraId="1328424C" w14:textId="77777777" w:rsidR="002A5CDC" w:rsidRPr="002A5CDC" w:rsidRDefault="002A5CDC" w:rsidP="0008190D">
            <w:pPr>
              <w:ind w:right="170"/>
              <w:jc w:val="right"/>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w:t>
            </w:r>
          </w:p>
        </w:tc>
        <w:tc>
          <w:tcPr>
            <w:tcW w:w="1191" w:type="dxa"/>
            <w:tcBorders>
              <w:top w:val="nil"/>
              <w:left w:val="nil"/>
              <w:bottom w:val="nil"/>
              <w:right w:val="nil"/>
            </w:tcBorders>
            <w:shd w:val="clear" w:color="000000" w:fill="FFFFFF"/>
            <w:noWrap/>
            <w:hideMark/>
          </w:tcPr>
          <w:p w14:paraId="0A841523" w14:textId="77777777" w:rsidR="002A5CDC" w:rsidRPr="002A5CDC" w:rsidRDefault="002A5CDC" w:rsidP="0008190D">
            <w:pPr>
              <w:ind w:right="170"/>
              <w:jc w:val="right"/>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w:t>
            </w:r>
          </w:p>
        </w:tc>
      </w:tr>
      <w:tr w:rsidR="002A5CDC" w:rsidRPr="002A5CDC" w14:paraId="5F691BBC" w14:textId="77777777" w:rsidTr="0008190D">
        <w:trPr>
          <w:trHeight w:val="225"/>
        </w:trPr>
        <w:tc>
          <w:tcPr>
            <w:tcW w:w="6537" w:type="dxa"/>
            <w:tcBorders>
              <w:top w:val="nil"/>
              <w:left w:val="nil"/>
              <w:bottom w:val="nil"/>
              <w:right w:val="nil"/>
            </w:tcBorders>
            <w:shd w:val="clear" w:color="000000" w:fill="FFFFFF"/>
            <w:hideMark/>
          </w:tcPr>
          <w:p w14:paraId="08678B3F" w14:textId="77777777" w:rsidR="002A5CDC" w:rsidRPr="002A5CDC" w:rsidRDefault="002A5CDC" w:rsidP="002A5CDC">
            <w:pPr>
              <w:ind w:firstLineChars="300" w:firstLine="480"/>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Geographic</w:t>
            </w:r>
          </w:p>
        </w:tc>
        <w:tc>
          <w:tcPr>
            <w:tcW w:w="737" w:type="dxa"/>
            <w:tcBorders>
              <w:top w:val="nil"/>
              <w:left w:val="nil"/>
              <w:bottom w:val="nil"/>
              <w:right w:val="nil"/>
            </w:tcBorders>
            <w:shd w:val="clear" w:color="000000" w:fill="FFFFFF"/>
            <w:noWrap/>
            <w:vAlign w:val="center"/>
            <w:hideMark/>
          </w:tcPr>
          <w:p w14:paraId="0755ABFC" w14:textId="77777777" w:rsidR="002A5CDC" w:rsidRPr="002A5CDC" w:rsidRDefault="002A5CDC" w:rsidP="002A5CDC">
            <w:pPr>
              <w:jc w:val="center"/>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w:t>
            </w:r>
          </w:p>
        </w:tc>
        <w:tc>
          <w:tcPr>
            <w:tcW w:w="1191" w:type="dxa"/>
            <w:tcBorders>
              <w:top w:val="nil"/>
              <w:left w:val="nil"/>
              <w:bottom w:val="nil"/>
              <w:right w:val="nil"/>
            </w:tcBorders>
            <w:shd w:val="clear" w:color="auto" w:fill="auto"/>
            <w:noWrap/>
            <w:hideMark/>
          </w:tcPr>
          <w:p w14:paraId="7CB38995" w14:textId="77777777" w:rsidR="002A5CDC" w:rsidRPr="002A5CDC" w:rsidRDefault="002A5CDC" w:rsidP="0008190D">
            <w:pPr>
              <w:ind w:right="170"/>
              <w:jc w:val="right"/>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xml:space="preserve">40 </w:t>
            </w:r>
          </w:p>
        </w:tc>
        <w:tc>
          <w:tcPr>
            <w:tcW w:w="1191" w:type="dxa"/>
            <w:tcBorders>
              <w:top w:val="nil"/>
              <w:left w:val="nil"/>
              <w:bottom w:val="nil"/>
              <w:right w:val="nil"/>
            </w:tcBorders>
            <w:shd w:val="clear" w:color="auto" w:fill="auto"/>
            <w:noWrap/>
            <w:hideMark/>
          </w:tcPr>
          <w:p w14:paraId="0EB20B53" w14:textId="77777777" w:rsidR="002A5CDC" w:rsidRPr="002A5CDC" w:rsidRDefault="002A5CDC" w:rsidP="0008190D">
            <w:pPr>
              <w:ind w:right="170"/>
              <w:jc w:val="right"/>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xml:space="preserve">40 </w:t>
            </w:r>
          </w:p>
        </w:tc>
      </w:tr>
      <w:tr w:rsidR="002A5CDC" w:rsidRPr="002A5CDC" w14:paraId="4CCD34AA" w14:textId="77777777" w:rsidTr="0008190D">
        <w:trPr>
          <w:trHeight w:val="225"/>
        </w:trPr>
        <w:tc>
          <w:tcPr>
            <w:tcW w:w="6537" w:type="dxa"/>
            <w:tcBorders>
              <w:top w:val="nil"/>
              <w:left w:val="nil"/>
              <w:bottom w:val="nil"/>
              <w:right w:val="nil"/>
            </w:tcBorders>
            <w:shd w:val="clear" w:color="000000" w:fill="FFFFFF"/>
            <w:hideMark/>
          </w:tcPr>
          <w:p w14:paraId="5E59D80E" w14:textId="77777777" w:rsidR="002A5CDC" w:rsidRPr="002A5CDC" w:rsidRDefault="002A5CDC" w:rsidP="002A5CDC">
            <w:pPr>
              <w:ind w:firstLineChars="300" w:firstLine="480"/>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Operational</w:t>
            </w:r>
          </w:p>
        </w:tc>
        <w:tc>
          <w:tcPr>
            <w:tcW w:w="737" w:type="dxa"/>
            <w:tcBorders>
              <w:top w:val="nil"/>
              <w:left w:val="nil"/>
              <w:bottom w:val="nil"/>
              <w:right w:val="nil"/>
            </w:tcBorders>
            <w:shd w:val="clear" w:color="000000" w:fill="FFFFFF"/>
            <w:noWrap/>
            <w:vAlign w:val="center"/>
            <w:hideMark/>
          </w:tcPr>
          <w:p w14:paraId="37C28C58" w14:textId="77777777" w:rsidR="002A5CDC" w:rsidRPr="002A5CDC" w:rsidRDefault="002A5CDC" w:rsidP="002A5CDC">
            <w:pPr>
              <w:jc w:val="center"/>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w:t>
            </w:r>
          </w:p>
        </w:tc>
        <w:tc>
          <w:tcPr>
            <w:tcW w:w="1191" w:type="dxa"/>
            <w:tcBorders>
              <w:top w:val="nil"/>
              <w:left w:val="nil"/>
              <w:bottom w:val="nil"/>
              <w:right w:val="nil"/>
            </w:tcBorders>
            <w:shd w:val="clear" w:color="auto" w:fill="auto"/>
            <w:noWrap/>
            <w:hideMark/>
          </w:tcPr>
          <w:p w14:paraId="3D8EDE17" w14:textId="77777777" w:rsidR="002A5CDC" w:rsidRPr="002A5CDC" w:rsidRDefault="002A5CDC" w:rsidP="0008190D">
            <w:pPr>
              <w:ind w:right="170"/>
              <w:jc w:val="right"/>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xml:space="preserve">99.95 </w:t>
            </w:r>
          </w:p>
        </w:tc>
        <w:tc>
          <w:tcPr>
            <w:tcW w:w="1191" w:type="dxa"/>
            <w:tcBorders>
              <w:top w:val="nil"/>
              <w:left w:val="nil"/>
              <w:bottom w:val="nil"/>
              <w:right w:val="nil"/>
            </w:tcBorders>
            <w:shd w:val="clear" w:color="auto" w:fill="auto"/>
            <w:noWrap/>
            <w:hideMark/>
          </w:tcPr>
          <w:p w14:paraId="2CEAF531" w14:textId="77777777" w:rsidR="002A5CDC" w:rsidRPr="002A5CDC" w:rsidRDefault="002A5CDC" w:rsidP="0008190D">
            <w:pPr>
              <w:ind w:right="170"/>
              <w:jc w:val="right"/>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xml:space="preserve">99.95 </w:t>
            </w:r>
          </w:p>
        </w:tc>
      </w:tr>
      <w:tr w:rsidR="002A5CDC" w:rsidRPr="002A5CDC" w14:paraId="5AC55575" w14:textId="77777777" w:rsidTr="0008190D">
        <w:trPr>
          <w:trHeight w:val="225"/>
        </w:trPr>
        <w:tc>
          <w:tcPr>
            <w:tcW w:w="6537" w:type="dxa"/>
            <w:tcBorders>
              <w:top w:val="nil"/>
              <w:left w:val="nil"/>
              <w:bottom w:val="nil"/>
              <w:right w:val="nil"/>
            </w:tcBorders>
            <w:shd w:val="clear" w:color="000000" w:fill="FFFFFF"/>
            <w:hideMark/>
          </w:tcPr>
          <w:p w14:paraId="776A2BC1" w14:textId="77777777" w:rsidR="002A5CDC" w:rsidRPr="002A5CDC" w:rsidRDefault="002A5CDC" w:rsidP="002A5CDC">
            <w:pPr>
              <w:ind w:firstLineChars="300" w:firstLine="480"/>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Population</w:t>
            </w:r>
          </w:p>
        </w:tc>
        <w:tc>
          <w:tcPr>
            <w:tcW w:w="737" w:type="dxa"/>
            <w:tcBorders>
              <w:top w:val="nil"/>
              <w:left w:val="nil"/>
              <w:bottom w:val="nil"/>
              <w:right w:val="nil"/>
            </w:tcBorders>
            <w:shd w:val="clear" w:color="000000" w:fill="FFFFFF"/>
            <w:noWrap/>
            <w:vAlign w:val="center"/>
            <w:hideMark/>
          </w:tcPr>
          <w:p w14:paraId="3F1D8EB0" w14:textId="77777777" w:rsidR="002A5CDC" w:rsidRPr="002A5CDC" w:rsidRDefault="002A5CDC" w:rsidP="002A5CDC">
            <w:pPr>
              <w:jc w:val="center"/>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w:t>
            </w:r>
          </w:p>
        </w:tc>
        <w:tc>
          <w:tcPr>
            <w:tcW w:w="1191" w:type="dxa"/>
            <w:tcBorders>
              <w:top w:val="nil"/>
              <w:left w:val="nil"/>
              <w:bottom w:val="nil"/>
              <w:right w:val="nil"/>
            </w:tcBorders>
            <w:shd w:val="clear" w:color="auto" w:fill="auto"/>
            <w:noWrap/>
            <w:hideMark/>
          </w:tcPr>
          <w:p w14:paraId="6BF7CE47" w14:textId="77777777" w:rsidR="002A5CDC" w:rsidRPr="002A5CDC" w:rsidRDefault="002A5CDC" w:rsidP="0008190D">
            <w:pPr>
              <w:ind w:right="170"/>
              <w:jc w:val="right"/>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xml:space="preserve">93 </w:t>
            </w:r>
          </w:p>
        </w:tc>
        <w:tc>
          <w:tcPr>
            <w:tcW w:w="1191" w:type="dxa"/>
            <w:tcBorders>
              <w:top w:val="nil"/>
              <w:left w:val="nil"/>
              <w:bottom w:val="nil"/>
              <w:right w:val="nil"/>
            </w:tcBorders>
            <w:shd w:val="clear" w:color="auto" w:fill="auto"/>
            <w:noWrap/>
            <w:hideMark/>
          </w:tcPr>
          <w:p w14:paraId="1CB1598E" w14:textId="77777777" w:rsidR="002A5CDC" w:rsidRPr="002A5CDC" w:rsidRDefault="002A5CDC" w:rsidP="0008190D">
            <w:pPr>
              <w:ind w:right="170"/>
              <w:jc w:val="right"/>
              <w:rPr>
                <w:rFonts w:ascii="Arial" w:eastAsia="Times New Roman" w:hAnsi="Arial" w:cs="Arial"/>
                <w:color w:val="000000"/>
                <w:sz w:val="16"/>
                <w:szCs w:val="16"/>
                <w:lang w:eastAsia="en-AU"/>
              </w:rPr>
            </w:pPr>
            <w:r w:rsidRPr="002A5CDC">
              <w:rPr>
                <w:rFonts w:ascii="Arial" w:eastAsia="Times New Roman" w:hAnsi="Arial" w:cs="Arial"/>
                <w:color w:val="000000"/>
                <w:sz w:val="16"/>
                <w:szCs w:val="16"/>
                <w:lang w:eastAsia="en-AU"/>
              </w:rPr>
              <w:t xml:space="preserve">93 </w:t>
            </w:r>
          </w:p>
        </w:tc>
      </w:tr>
    </w:tbl>
    <w:p w14:paraId="2BBDE9B4" w14:textId="77777777" w:rsidR="006F0BA9" w:rsidRPr="006F0BA9" w:rsidRDefault="006F0BA9" w:rsidP="00AE5092">
      <w:pPr>
        <w:rPr>
          <w:rFonts w:ascii="Arial" w:eastAsia="Times New Roman" w:hAnsi="Arial" w:cs="Arial"/>
          <w:b/>
          <w:bCs/>
          <w:color w:val="000000"/>
          <w:sz w:val="6"/>
          <w:szCs w:val="6"/>
          <w:lang w:eastAsia="en-AU"/>
        </w:rPr>
      </w:pPr>
    </w:p>
    <w:p w14:paraId="0E9E0EFC" w14:textId="321367DE" w:rsidR="006F0BA9" w:rsidRDefault="006F0BA9" w:rsidP="00AE5092">
      <w:pPr>
        <w:rPr>
          <w:rFonts w:ascii="Arial" w:eastAsia="Times New Roman" w:hAnsi="Arial" w:cs="Arial"/>
          <w:color w:val="000000"/>
          <w:sz w:val="17"/>
          <w:szCs w:val="17"/>
          <w:lang w:eastAsia="en-AU"/>
        </w:rPr>
      </w:pPr>
      <w:r w:rsidRPr="000060A8">
        <w:rPr>
          <w:rFonts w:ascii="Arial" w:eastAsia="Times New Roman" w:hAnsi="Arial" w:cs="Arial"/>
          <w:color w:val="000000"/>
          <w:sz w:val="16"/>
          <w:szCs w:val="16"/>
          <w:lang w:eastAsia="en-AU"/>
        </w:rPr>
        <w:t>Note</w:t>
      </w:r>
    </w:p>
    <w:p w14:paraId="08ACB6C9" w14:textId="6A87259A" w:rsidR="00BE2BA4" w:rsidRPr="006F0BA9" w:rsidRDefault="006F0BA9" w:rsidP="006F0BA9">
      <w:pPr>
        <w:pStyle w:val="ListParagraph"/>
        <w:numPr>
          <w:ilvl w:val="0"/>
          <w:numId w:val="20"/>
        </w:numPr>
        <w:ind w:left="357" w:hanging="357"/>
        <w:rPr>
          <w:rFonts w:cs="Arial"/>
          <w:sz w:val="23"/>
          <w:szCs w:val="23"/>
        </w:rPr>
      </w:pPr>
      <w:r w:rsidRPr="006F0BA9">
        <w:rPr>
          <w:rFonts w:eastAsia="Times New Roman" w:cs="Arial"/>
          <w:color w:val="000000"/>
          <w:sz w:val="17"/>
          <w:szCs w:val="17"/>
          <w:lang w:eastAsia="en-AU"/>
        </w:rPr>
        <w:t xml:space="preserve">A </w:t>
      </w:r>
      <w:r w:rsidR="00A25158">
        <w:rPr>
          <w:rFonts w:eastAsia="Times New Roman" w:cs="Arial"/>
          <w:color w:val="000000"/>
          <w:sz w:val="17"/>
          <w:szCs w:val="17"/>
          <w:lang w:eastAsia="en-AU"/>
        </w:rPr>
        <w:t xml:space="preserve">2020-21 </w:t>
      </w:r>
      <w:r w:rsidRPr="006F0BA9">
        <w:rPr>
          <w:rFonts w:eastAsia="Times New Roman" w:cs="Arial"/>
          <w:color w:val="000000"/>
          <w:sz w:val="17"/>
          <w:szCs w:val="17"/>
          <w:lang w:eastAsia="en-AU"/>
        </w:rPr>
        <w:t>forecast is not available as the values are sourced from the Digital Government Readiness Report prepared by Intermedium. The next results are expected to be released in early 2021.</w:t>
      </w:r>
    </w:p>
    <w:p w14:paraId="1A6AFD20" w14:textId="77777777" w:rsidR="00E31666" w:rsidRDefault="00E31666">
      <w:pPr>
        <w:rPr>
          <w:rFonts w:ascii="Arial" w:eastAsia="Calibri" w:hAnsi="Arial" w:cs="Arial"/>
          <w:sz w:val="23"/>
          <w:szCs w:val="23"/>
        </w:rPr>
      </w:pPr>
      <w:r>
        <w:rPr>
          <w:rFonts w:ascii="Arial" w:eastAsia="Calibri" w:hAnsi="Arial" w:cs="Arial"/>
          <w:sz w:val="23"/>
          <w:szCs w:val="23"/>
        </w:rPr>
        <w:br w:type="page"/>
      </w:r>
    </w:p>
    <w:p w14:paraId="0E653863" w14:textId="21DF22A9" w:rsidR="00AE5092" w:rsidRDefault="0099291A" w:rsidP="00D91FFE">
      <w:pPr>
        <w:pStyle w:val="Heading2"/>
      </w:pPr>
      <w:r>
        <w:t xml:space="preserve">Outcome 3: </w:t>
      </w:r>
      <w:r w:rsidR="001077F1">
        <w:t>Fair,</w:t>
      </w:r>
      <w:r w:rsidR="005D65B1">
        <w:t xml:space="preserve"> secure </w:t>
      </w:r>
      <w:r w:rsidR="001077F1">
        <w:t xml:space="preserve">and efficient </w:t>
      </w:r>
      <w:r w:rsidR="005D65B1">
        <w:t>markets</w:t>
      </w:r>
    </w:p>
    <w:tbl>
      <w:tblPr>
        <w:tblpPr w:leftFromText="180" w:rightFromText="180" w:vertAnchor="text" w:horzAnchor="margin" w:tblpXSpec="right" w:tblpY="676"/>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07412B" w:rsidRPr="00F8244B" w14:paraId="3F4DCCD2" w14:textId="77777777" w:rsidTr="51D91659">
        <w:trPr>
          <w:cantSplit/>
          <w:trHeight w:val="784"/>
        </w:trPr>
        <w:tc>
          <w:tcPr>
            <w:tcW w:w="1729" w:type="pct"/>
            <w:shd w:val="clear" w:color="auto" w:fill="F2F2F2" w:themeFill="background1" w:themeFillShade="F2"/>
            <w:vAlign w:val="center"/>
          </w:tcPr>
          <w:p w14:paraId="091C7BDC" w14:textId="77777777" w:rsidR="0007412B" w:rsidRPr="00F8244B" w:rsidRDefault="0007412B" w:rsidP="0007412B">
            <w:pPr>
              <w:spacing w:before="120" w:after="120"/>
              <w:rPr>
                <w:rFonts w:ascii="Arial" w:hAnsi="Arial" w:cs="Arial"/>
                <w:sz w:val="23"/>
                <w:szCs w:val="23"/>
              </w:rPr>
            </w:pPr>
            <w:r w:rsidRPr="00F8244B">
              <w:rPr>
                <w:rFonts w:ascii="Arial" w:hAnsi="Arial" w:cs="Arial"/>
                <w:noProof/>
                <w:lang w:eastAsia="en-AU"/>
              </w:rPr>
              <w:drawing>
                <wp:inline distT="0" distB="0" distL="0" distR="0" wp14:anchorId="3F3A9615" wp14:editId="459C6C02">
                  <wp:extent cx="518160" cy="518160"/>
                  <wp:effectExtent l="0" t="0" r="0" b="0"/>
                  <wp:docPr id="11" name="Picture 1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24C85920" w14:textId="7AFE3109" w:rsidR="0007412B" w:rsidRPr="00F8244B" w:rsidRDefault="0007412B" w:rsidP="0007412B">
            <w:pPr>
              <w:spacing w:before="120" w:after="120"/>
              <w:jc w:val="center"/>
              <w:rPr>
                <w:rFonts w:ascii="Arial" w:hAnsi="Arial" w:cs="Arial"/>
                <w:color w:val="00ABE6"/>
                <w:sz w:val="18"/>
                <w:szCs w:val="18"/>
              </w:rPr>
            </w:pPr>
            <w:r w:rsidRPr="00F8244B">
              <w:rPr>
                <w:rFonts w:ascii="Arial" w:hAnsi="Arial" w:cs="Arial"/>
                <w:color w:val="00ABE6"/>
                <w:sz w:val="18"/>
                <w:szCs w:val="18"/>
              </w:rPr>
              <w:t>$</w:t>
            </w:r>
            <w:r w:rsidR="008A5FE5" w:rsidRPr="008057F3">
              <w:rPr>
                <w:rFonts w:ascii="Arial" w:hAnsi="Arial" w:cs="Arial"/>
                <w:color w:val="00ABE6"/>
                <w:sz w:val="18"/>
                <w:szCs w:val="18"/>
              </w:rPr>
              <w:t>1.</w:t>
            </w:r>
            <w:r w:rsidR="00A65054" w:rsidRPr="008057F3">
              <w:rPr>
                <w:rFonts w:ascii="Arial" w:hAnsi="Arial" w:cs="Arial"/>
                <w:color w:val="00ABE6"/>
                <w:sz w:val="18"/>
                <w:szCs w:val="18"/>
              </w:rPr>
              <w:t>5</w:t>
            </w:r>
            <w:r>
              <w:rPr>
                <w:rFonts w:ascii="Arial" w:hAnsi="Arial" w:cs="Arial"/>
                <w:color w:val="00ABE6"/>
                <w:sz w:val="18"/>
                <w:szCs w:val="18"/>
              </w:rPr>
              <w:t xml:space="preserve"> </w:t>
            </w:r>
            <w:r w:rsidRPr="00F8244B">
              <w:rPr>
                <w:rFonts w:ascii="Arial" w:hAnsi="Arial" w:cs="Arial"/>
                <w:color w:val="00ABE6"/>
                <w:sz w:val="18"/>
                <w:szCs w:val="18"/>
              </w:rPr>
              <w:t>billion</w:t>
            </w:r>
          </w:p>
        </w:tc>
        <w:tc>
          <w:tcPr>
            <w:tcW w:w="1809" w:type="pct"/>
            <w:shd w:val="clear" w:color="auto" w:fill="F2F2F2" w:themeFill="background1" w:themeFillShade="F2"/>
            <w:vAlign w:val="center"/>
          </w:tcPr>
          <w:p w14:paraId="350FEEED" w14:textId="77777777" w:rsidR="0007412B" w:rsidRPr="00F8244B" w:rsidRDefault="0007412B" w:rsidP="0007412B">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07412B" w:rsidRPr="00F8244B" w14:paraId="1F73F995" w14:textId="77777777" w:rsidTr="51D91659">
        <w:trPr>
          <w:cantSplit/>
          <w:trHeight w:val="784"/>
        </w:trPr>
        <w:tc>
          <w:tcPr>
            <w:tcW w:w="1729" w:type="pct"/>
            <w:shd w:val="clear" w:color="auto" w:fill="F2F2F2" w:themeFill="background1" w:themeFillShade="F2"/>
            <w:vAlign w:val="center"/>
          </w:tcPr>
          <w:p w14:paraId="26B75C26" w14:textId="77777777" w:rsidR="0007412B" w:rsidRPr="00F8244B" w:rsidRDefault="0007412B" w:rsidP="0007412B">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1CE87467" wp14:editId="1CC64792">
                  <wp:extent cx="525145" cy="525145"/>
                  <wp:effectExtent l="0" t="0" r="8255" b="8255"/>
                  <wp:docPr id="12" name="Picture 12"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6356D8B2" w14:textId="04AC1159" w:rsidR="0007412B" w:rsidRPr="00F8244B" w:rsidRDefault="0007412B" w:rsidP="0007412B">
            <w:pPr>
              <w:spacing w:before="120" w:after="120"/>
              <w:jc w:val="center"/>
              <w:rPr>
                <w:rFonts w:ascii="Arial" w:hAnsi="Arial" w:cs="Arial"/>
                <w:color w:val="00ABE6"/>
                <w:sz w:val="18"/>
                <w:szCs w:val="18"/>
              </w:rPr>
            </w:pPr>
            <w:r w:rsidRPr="00F8244B">
              <w:rPr>
                <w:rFonts w:ascii="Arial" w:hAnsi="Arial" w:cs="Arial"/>
                <w:color w:val="00ABE6"/>
                <w:sz w:val="18"/>
                <w:szCs w:val="18"/>
              </w:rPr>
              <w:t>$</w:t>
            </w:r>
            <w:r w:rsidR="008A5FE5" w:rsidRPr="008057F3">
              <w:rPr>
                <w:rFonts w:ascii="Arial" w:hAnsi="Arial" w:cs="Arial"/>
                <w:color w:val="00ABE6"/>
                <w:sz w:val="18"/>
                <w:szCs w:val="18"/>
              </w:rPr>
              <w:t>66.</w:t>
            </w:r>
            <w:r w:rsidR="00A65054" w:rsidRPr="008057F3">
              <w:rPr>
                <w:rFonts w:ascii="Arial" w:hAnsi="Arial" w:cs="Arial"/>
                <w:color w:val="00ABE6"/>
                <w:sz w:val="18"/>
                <w:szCs w:val="18"/>
              </w:rPr>
              <w:t>7</w:t>
            </w:r>
            <w:r w:rsidRPr="008057F3">
              <w:rPr>
                <w:rFonts w:ascii="Arial" w:hAnsi="Arial" w:cs="Arial"/>
                <w:color w:val="00ABE6"/>
                <w:sz w:val="18"/>
                <w:szCs w:val="18"/>
              </w:rPr>
              <w:t xml:space="preserve"> </w:t>
            </w:r>
            <w:r w:rsidRPr="00F8244B">
              <w:rPr>
                <w:rFonts w:ascii="Arial" w:hAnsi="Arial" w:cs="Arial"/>
                <w:color w:val="00ABE6"/>
                <w:sz w:val="18"/>
                <w:szCs w:val="18"/>
              </w:rPr>
              <w:t>million</w:t>
            </w:r>
          </w:p>
        </w:tc>
        <w:tc>
          <w:tcPr>
            <w:tcW w:w="1809" w:type="pct"/>
            <w:shd w:val="clear" w:color="auto" w:fill="F2F2F2" w:themeFill="background1" w:themeFillShade="F2"/>
            <w:vAlign w:val="center"/>
          </w:tcPr>
          <w:p w14:paraId="15C41C07" w14:textId="77777777" w:rsidR="0007412B" w:rsidRPr="00F8244B" w:rsidRDefault="0007412B" w:rsidP="0007412B">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48152108" w14:textId="77777777" w:rsidR="00AE5092" w:rsidRPr="003A0DAC" w:rsidRDefault="00AE5092" w:rsidP="00D91FFE">
      <w:pPr>
        <w:pStyle w:val="Heading3"/>
      </w:pPr>
      <w:r w:rsidRPr="003A0DAC">
        <w:t>State Outcome overview and 2020-21 investment</w:t>
      </w:r>
    </w:p>
    <w:p w14:paraId="6821957D" w14:textId="5DE94EB0" w:rsidR="001077F1" w:rsidRDefault="00A96296" w:rsidP="00F01446">
      <w:pPr>
        <w:pStyle w:val="BodyText"/>
      </w:pPr>
      <w:r w:rsidRPr="00A96296">
        <w:t xml:space="preserve">The </w:t>
      </w:r>
      <w:r w:rsidR="00323224">
        <w:t>C</w:t>
      </w:r>
      <w:r w:rsidRPr="00A96296">
        <w:t>luster has a fundamental objective of delivering a regulatory framework that promotes safety, efficiency and regulatory requirements with the evolving expectations of businesses and customers. This Outcome is measured by the regulatory compliance rates of selected industries, the rate of work-related traumatic injury fatalities and the affordability of the Compulsory Third Party Insurance scheme.</w:t>
      </w:r>
    </w:p>
    <w:p w14:paraId="77200F3F" w14:textId="7607E5F4" w:rsidR="00F3787C" w:rsidRPr="00F3787C" w:rsidRDefault="00AE5092" w:rsidP="00D91FFE">
      <w:pPr>
        <w:pStyle w:val="Heading3"/>
      </w:pPr>
      <w:r w:rsidRPr="000101AC">
        <w:t xml:space="preserve">2020-21 </w:t>
      </w:r>
      <w:r w:rsidR="0099291A" w:rsidRPr="00D91FFE">
        <w:t>State</w:t>
      </w:r>
      <w:r w:rsidR="0099291A">
        <w:t xml:space="preserve"> Outcome </w:t>
      </w:r>
      <w:r w:rsidRPr="000101AC">
        <w:t xml:space="preserve">Budget </w:t>
      </w:r>
      <w:r w:rsidR="00B71A13">
        <w:t>h</w:t>
      </w:r>
      <w:r w:rsidRPr="000101AC">
        <w:t xml:space="preserve">ighlights </w:t>
      </w:r>
    </w:p>
    <w:p w14:paraId="29B249E6" w14:textId="33C0E28F" w:rsidR="00AE5092" w:rsidRPr="006F6CD0" w:rsidRDefault="551161FC" w:rsidP="00F01446">
      <w:pPr>
        <w:pStyle w:val="BodyText"/>
      </w:pPr>
      <w:r>
        <w:t xml:space="preserve">In 2020-21, the Customer Service </w:t>
      </w:r>
      <w:r w:rsidR="00754F71">
        <w:t>C</w:t>
      </w:r>
      <w:r>
        <w:t>luster will invest $</w:t>
      </w:r>
      <w:r w:rsidR="00D177E5">
        <w:t>1.</w:t>
      </w:r>
      <w:r w:rsidR="00D177E5" w:rsidRPr="002C192C">
        <w:t xml:space="preserve">6 </w:t>
      </w:r>
      <w:r w:rsidRPr="002C192C">
        <w:t>billion ($</w:t>
      </w:r>
      <w:r w:rsidR="008A5FE5" w:rsidRPr="002C192C">
        <w:t>1.</w:t>
      </w:r>
      <w:r w:rsidR="00A65054" w:rsidRPr="002C192C">
        <w:t>5</w:t>
      </w:r>
      <w:r w:rsidRPr="002C192C">
        <w:t xml:space="preserve"> billion recurrent expenses and $</w:t>
      </w:r>
      <w:r w:rsidR="008A5FE5" w:rsidRPr="002C192C">
        <w:t>66.</w:t>
      </w:r>
      <w:r w:rsidR="00A65054" w:rsidRPr="002C192C">
        <w:t>7</w:t>
      </w:r>
      <w:r w:rsidR="00557D70" w:rsidRPr="002C192C">
        <w:t xml:space="preserve"> </w:t>
      </w:r>
      <w:r w:rsidRPr="002C192C">
        <w:t xml:space="preserve">million capital expenditure) </w:t>
      </w:r>
      <w:r w:rsidR="001756C7" w:rsidRPr="002C192C">
        <w:t xml:space="preserve">in this </w:t>
      </w:r>
      <w:r w:rsidR="00B71A13">
        <w:t>O</w:t>
      </w:r>
      <w:r w:rsidR="001756C7" w:rsidRPr="002C192C">
        <w:t>utcome</w:t>
      </w:r>
      <w:r w:rsidRPr="002C192C">
        <w:t>, including</w:t>
      </w:r>
      <w:r w:rsidR="00E8489B" w:rsidRPr="002C192C">
        <w:t>:</w:t>
      </w:r>
    </w:p>
    <w:p w14:paraId="5A4E2B75" w14:textId="25FAC4AF" w:rsidR="1653F234" w:rsidRDefault="1653F234" w:rsidP="00F01446">
      <w:pPr>
        <w:pStyle w:val="Bullet1"/>
        <w:rPr>
          <w:rFonts w:asciiTheme="minorHAnsi" w:eastAsiaTheme="minorEastAsia" w:hAnsiTheme="minorHAnsi" w:cstheme="minorBidi"/>
          <w:color w:val="000000" w:themeColor="text1"/>
        </w:rPr>
      </w:pPr>
      <w:r w:rsidRPr="397B438B">
        <w:t>$41.2 million ($152</w:t>
      </w:r>
      <w:r w:rsidR="3F9BEC46">
        <w:t>.0</w:t>
      </w:r>
      <w:r w:rsidRPr="397B438B">
        <w:t xml:space="preserve"> million expenses over </w:t>
      </w:r>
      <w:r w:rsidR="00F47BB7">
        <w:t>four</w:t>
      </w:r>
      <w:r w:rsidRPr="397B438B">
        <w:t xml:space="preserve"> years) for Responsible Gambling to support responsible gambling and reduce gambling harm in the community</w:t>
      </w:r>
    </w:p>
    <w:p w14:paraId="282736A7" w14:textId="1EF0C633" w:rsidR="00571746" w:rsidRDefault="00571746" w:rsidP="00F01446">
      <w:pPr>
        <w:pStyle w:val="Bullet1"/>
      </w:pPr>
      <w:r>
        <w:t xml:space="preserve">$23 million ($139 million over 3 years) for an assurance program to project manage the remediation process for removal of high-risk cladding in residential apartment buildings across the </w:t>
      </w:r>
      <w:r w:rsidR="00874600">
        <w:t>S</w:t>
      </w:r>
      <w:r>
        <w:t>tate</w:t>
      </w:r>
    </w:p>
    <w:p w14:paraId="174602D5" w14:textId="620012CA" w:rsidR="00E640DF" w:rsidRPr="00E640DF" w:rsidRDefault="1653F234" w:rsidP="00F01446">
      <w:pPr>
        <w:pStyle w:val="Bullet1"/>
      </w:pPr>
      <w:r w:rsidRPr="397B438B">
        <w:t>$15.9 million ($22.9 million</w:t>
      </w:r>
      <w:r w:rsidR="6631912C" w:rsidRPr="397B438B">
        <w:t xml:space="preserve"> </w:t>
      </w:r>
      <w:r w:rsidRPr="397B438B">
        <w:t xml:space="preserve">expenses over </w:t>
      </w:r>
      <w:r w:rsidR="00F47BB7">
        <w:t>two</w:t>
      </w:r>
      <w:r w:rsidRPr="397B438B">
        <w:t xml:space="preserve"> years) for the Office of Racing to assist Greyhound Racing NSW and its clubs to improve animal welfare, including track upgrades to reduce injury rates for racing dogs</w:t>
      </w:r>
    </w:p>
    <w:p w14:paraId="2C450DF2" w14:textId="3135996E" w:rsidR="00C569DA" w:rsidRPr="00C928C8" w:rsidRDefault="00FD27F6" w:rsidP="00F01446">
      <w:pPr>
        <w:pStyle w:val="Bullet1"/>
        <w:rPr>
          <w:rFonts w:asciiTheme="minorHAnsi" w:eastAsiaTheme="minorEastAsia" w:hAnsiTheme="minorHAnsi" w:cstheme="minorBidi"/>
          <w:color w:val="000000" w:themeColor="text1"/>
        </w:rPr>
      </w:pPr>
      <w:r>
        <w:t xml:space="preserve">$6.7 million ($27.3 million expenses over four years) for the </w:t>
      </w:r>
      <w:r w:rsidRPr="14C153D4">
        <w:rPr>
          <w:i/>
          <w:iCs/>
        </w:rPr>
        <w:t xml:space="preserve">Construct NSW </w:t>
      </w:r>
      <w:r w:rsidR="00B71A13">
        <w:rPr>
          <w:i/>
          <w:iCs/>
        </w:rPr>
        <w:t>T</w:t>
      </w:r>
      <w:r w:rsidRPr="14C153D4">
        <w:rPr>
          <w:i/>
          <w:iCs/>
        </w:rPr>
        <w:t>ransformation</w:t>
      </w:r>
      <w:r>
        <w:t xml:space="preserve"> program </w:t>
      </w:r>
      <w:r w:rsidR="735BD7B8">
        <w:t xml:space="preserve">to support the Building Commissioner </w:t>
      </w:r>
      <w:r>
        <w:t>to implement a comprehensive strategy that will restore public confidence in the NSW building and construction industry, particularly for multi-storey residential apartments.</w:t>
      </w:r>
    </w:p>
    <w:p w14:paraId="63C863E6" w14:textId="77777777" w:rsidR="00AE5092" w:rsidRPr="00DC6435" w:rsidRDefault="00AE5092" w:rsidP="00D91FFE">
      <w:pPr>
        <w:pStyle w:val="Heading3"/>
      </w:pPr>
      <w:r w:rsidRPr="00DC6435">
        <w:t xml:space="preserve">Key performance </w:t>
      </w:r>
      <w:r w:rsidRPr="00D91FFE">
        <w:t>insights</w:t>
      </w:r>
      <w:r w:rsidRPr="00DC6435">
        <w:t xml:space="preserve"> </w:t>
      </w:r>
    </w:p>
    <w:p w14:paraId="090C21F8" w14:textId="77777777" w:rsidR="00BD73CC" w:rsidRPr="00B84D17" w:rsidRDefault="00BD73CC" w:rsidP="00F01446">
      <w:pPr>
        <w:pStyle w:val="BodyText"/>
        <w:rPr>
          <w:b/>
        </w:rPr>
      </w:pPr>
      <w:r w:rsidRPr="00B84D17">
        <w:t xml:space="preserve">This section provides analysis and insights on key Outcome Indicators for this State Outcome. </w:t>
      </w:r>
    </w:p>
    <w:p w14:paraId="5E7AF6D8" w14:textId="77777777" w:rsidR="00A2348A" w:rsidRPr="007D64BD" w:rsidRDefault="00A2348A" w:rsidP="00E218E9">
      <w:pPr>
        <w:pStyle w:val="Heading4"/>
      </w:pPr>
      <w:r w:rsidRPr="007D64BD">
        <w:t xml:space="preserve">Reduced rate of work-related traumatic </w:t>
      </w:r>
      <w:r w:rsidRPr="00E218E9">
        <w:t>injury</w:t>
      </w:r>
      <w:r w:rsidRPr="007D64BD">
        <w:t xml:space="preserve"> fatalities (worker fatalities per 100,000 employees)</w:t>
      </w:r>
    </w:p>
    <w:p w14:paraId="3BCEF38F" w14:textId="77777777" w:rsidR="00763958" w:rsidRPr="00763958" w:rsidRDefault="00763958" w:rsidP="00F01446">
      <w:pPr>
        <w:pStyle w:val="BodyText"/>
        <w:rPr>
          <w:b/>
        </w:rPr>
      </w:pPr>
      <w:r w:rsidRPr="00763958">
        <w:t xml:space="preserve">The </w:t>
      </w:r>
      <w:r w:rsidRPr="005E0A1A">
        <w:rPr>
          <w:i/>
        </w:rPr>
        <w:t>Work Health and Safety Roadmap for NSW 2022</w:t>
      </w:r>
      <w:r w:rsidRPr="00763958">
        <w:t xml:space="preserve"> outlines a strategic approach to reducing workplace fatalities and injuries by focusing on priority high risk sectors, workplaces and workers.  </w:t>
      </w:r>
    </w:p>
    <w:p w14:paraId="0B59EB3B" w14:textId="0CB9DA78" w:rsidR="00FA20E2" w:rsidRDefault="00763958" w:rsidP="00F01446">
      <w:pPr>
        <w:pStyle w:val="BodyText"/>
        <w:rPr>
          <w:b/>
        </w:rPr>
      </w:pPr>
      <w:r w:rsidRPr="00763958">
        <w:t>SafeWork NSW works proactively and responsively to support worker safety. When a fatality or serious injury occurs, SafeWork NSW responds quickly with significant resources to ensure the workplace is made safe and the investigation commences immediately.</w:t>
      </w:r>
      <w:r w:rsidR="00FA20E2">
        <w:t xml:space="preserve"> </w:t>
      </w:r>
      <w:r w:rsidRPr="00763958">
        <w:t>In 2016</w:t>
      </w:r>
      <w:r w:rsidR="00F47BB7">
        <w:t>,</w:t>
      </w:r>
      <w:r w:rsidRPr="00763958">
        <w:t xml:space="preserve"> SafeWork NSW adopted the national target of a 20</w:t>
      </w:r>
      <w:r w:rsidR="00332043">
        <w:t xml:space="preserve"> per cent</w:t>
      </w:r>
      <w:r w:rsidRPr="00763958">
        <w:t xml:space="preserve"> reduction in workplace fatalities and a 30</w:t>
      </w:r>
      <w:r w:rsidR="00332043">
        <w:t xml:space="preserve"> </w:t>
      </w:r>
      <w:r w:rsidR="00332043" w:rsidRPr="00043F03">
        <w:t>per</w:t>
      </w:r>
      <w:r w:rsidR="00043F03">
        <w:t> </w:t>
      </w:r>
      <w:r w:rsidR="00332043" w:rsidRPr="00043F03">
        <w:t>cent</w:t>
      </w:r>
      <w:r w:rsidRPr="00763958">
        <w:t xml:space="preserve"> reduction in workplace injuries and illnesses by 2022. </w:t>
      </w:r>
    </w:p>
    <w:p w14:paraId="220B5B3E" w14:textId="0FCB7526" w:rsidR="00802FB1" w:rsidRPr="00802FB1" w:rsidRDefault="00BD73CC" w:rsidP="00F01446">
      <w:pPr>
        <w:pStyle w:val="BodyText"/>
        <w:rPr>
          <w:b/>
        </w:rPr>
      </w:pPr>
      <w:r>
        <w:t>Performance against this indicator continues to improve</w:t>
      </w:r>
      <w:r w:rsidR="00A56C09">
        <w:t xml:space="preserve"> and </w:t>
      </w:r>
      <w:r>
        <w:t>is on track to meet the national target of 1.34 by 2022.</w:t>
      </w:r>
      <w:r w:rsidR="00763958" w:rsidRPr="00763958">
        <w:t xml:space="preserve"> </w:t>
      </w:r>
    </w:p>
    <w:p w14:paraId="667CB613" w14:textId="13A1E14C" w:rsidR="00FA20E2" w:rsidRDefault="00FA20E2">
      <w:r>
        <w:br w:type="page"/>
      </w:r>
    </w:p>
    <w:p w14:paraId="2190A087" w14:textId="4982C36F" w:rsidR="00C61649" w:rsidRPr="009F5887" w:rsidRDefault="00C61649" w:rsidP="00E218E9">
      <w:pPr>
        <w:pStyle w:val="Chart1X"/>
        <w:rPr>
          <w:lang w:eastAsia="en-AU"/>
        </w:rPr>
      </w:pPr>
      <w:r>
        <w:rPr>
          <w:lang w:eastAsia="en-AU"/>
        </w:rPr>
        <w:t>W</w:t>
      </w:r>
      <w:r w:rsidRPr="009F5887">
        <w:rPr>
          <w:lang w:eastAsia="en-AU"/>
        </w:rPr>
        <w:t>orker fatalities per 100,000 employees</w:t>
      </w:r>
    </w:p>
    <w:p w14:paraId="02E8BBF9" w14:textId="5C8DDA48" w:rsidR="00EB04F3" w:rsidRDefault="00F00D6E" w:rsidP="00E218E9">
      <w:pPr>
        <w:jc w:val="center"/>
      </w:pPr>
      <w:r>
        <w:rPr>
          <w:noProof/>
          <w:lang w:eastAsia="en-AU"/>
        </w:rPr>
        <w:drawing>
          <wp:inline distT="0" distB="0" distL="0" distR="0" wp14:anchorId="0B4A17D3" wp14:editId="762200A9">
            <wp:extent cx="4678680" cy="2489835"/>
            <wp:effectExtent l="0" t="0" r="0" b="0"/>
            <wp:docPr id="23" name="Chart 23" descr="Chart 1.7: Worker fatalities per 100,000 employees">
              <a:extLst xmlns:a="http://schemas.openxmlformats.org/drawingml/2006/main">
                <a:ext uri="{FF2B5EF4-FFF2-40B4-BE49-F238E27FC236}">
                  <a16:creationId xmlns:a16="http://schemas.microsoft.com/office/drawing/2014/main" id="{22558025-C4A2-45D8-AACE-7A362418AB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23C6069" w14:textId="77777777" w:rsidR="00EB04F3" w:rsidRPr="00EB04F3" w:rsidRDefault="00EB04F3" w:rsidP="00EB04F3"/>
    <w:p w14:paraId="7521A7FD" w14:textId="77777777" w:rsidR="00A2348A" w:rsidRPr="007D64BD" w:rsidRDefault="00A2348A" w:rsidP="00E218E9">
      <w:pPr>
        <w:pStyle w:val="Heading4"/>
      </w:pPr>
      <w:r w:rsidRPr="007D64BD">
        <w:t>Compliance rate of selected regulatory activities</w:t>
      </w:r>
    </w:p>
    <w:p w14:paraId="2D375E2C" w14:textId="5C00457C" w:rsidR="00924A0B" w:rsidRPr="00924A0B" w:rsidRDefault="00924A0B" w:rsidP="00F01446">
      <w:pPr>
        <w:pStyle w:val="BodyText"/>
      </w:pPr>
      <w:r w:rsidRPr="00924A0B">
        <w:t xml:space="preserve">Better Regulation Division protects the </w:t>
      </w:r>
      <w:r w:rsidR="001D67E8">
        <w:t>New South Wales</w:t>
      </w:r>
      <w:r w:rsidR="001D67E8" w:rsidRPr="00924A0B">
        <w:t xml:space="preserve"> </w:t>
      </w:r>
      <w:r w:rsidRPr="00924A0B">
        <w:t xml:space="preserve">community through innovative regulatory services to ensure fair, secure and efficient markets. Our compliance efforts include a commitment to working with businesses and educating industry groups and other </w:t>
      </w:r>
      <w:r w:rsidR="00F47BB7">
        <w:t>g</w:t>
      </w:r>
      <w:r w:rsidRPr="00924A0B">
        <w:t>overnment agencies to promote compliance and secure standards.</w:t>
      </w:r>
    </w:p>
    <w:p w14:paraId="40248FBB" w14:textId="18D66BEB" w:rsidR="00924A0B" w:rsidRPr="00924A0B" w:rsidRDefault="00924A0B" w:rsidP="00F01446">
      <w:pPr>
        <w:pStyle w:val="BodyText"/>
      </w:pPr>
      <w:r w:rsidRPr="00924A0B">
        <w:t>Significant compliance and enforcement outcomes have been achieved by educating and enabling businesses to comply and taking proportional enforcement actions against those who do not meet their regulatory obligations. Enforcement actions are intelligence</w:t>
      </w:r>
      <w:r w:rsidR="00F47BB7">
        <w:t>-</w:t>
      </w:r>
      <w:r w:rsidRPr="00924A0B">
        <w:t>based and evidence</w:t>
      </w:r>
      <w:r w:rsidR="00876685">
        <w:t>-</w:t>
      </w:r>
      <w:r w:rsidRPr="00924A0B">
        <w:t xml:space="preserve">led, including legal proceedings where appropriate. </w:t>
      </w:r>
    </w:p>
    <w:p w14:paraId="57F15951" w14:textId="3DE0266D" w:rsidR="00802FB1" w:rsidRDefault="00B55EC1" w:rsidP="00F01446">
      <w:pPr>
        <w:pStyle w:val="BodyText"/>
      </w:pPr>
      <w:r>
        <w:t>Performance against this indica</w:t>
      </w:r>
      <w:r w:rsidR="00A15B4D">
        <w:t>tor is currently exceeding the target</w:t>
      </w:r>
      <w:r w:rsidR="00B368FB">
        <w:t xml:space="preserve"> of 90 per cent</w:t>
      </w:r>
      <w:r w:rsidR="00A15B4D">
        <w:t xml:space="preserve">. </w:t>
      </w:r>
      <w:r w:rsidR="00924A0B" w:rsidRPr="00924A0B">
        <w:t>In 2020, 91</w:t>
      </w:r>
      <w:r w:rsidR="00043F03">
        <w:t> </w:t>
      </w:r>
      <w:r w:rsidR="00332043">
        <w:t>per</w:t>
      </w:r>
      <w:r w:rsidR="00043F03">
        <w:t> </w:t>
      </w:r>
      <w:r w:rsidR="00332043">
        <w:t>cent</w:t>
      </w:r>
      <w:r w:rsidR="00924A0B" w:rsidRPr="00924A0B">
        <w:t xml:space="preserve"> of selected regulated entities were found compliant with the laws and regulations which govern their operations</w:t>
      </w:r>
      <w:r w:rsidR="002B20DF">
        <w:t>.</w:t>
      </w:r>
    </w:p>
    <w:p w14:paraId="373FA803" w14:textId="4595C7B6" w:rsidR="00723771" w:rsidRDefault="00723771" w:rsidP="00E218E9">
      <w:pPr>
        <w:pStyle w:val="Chart1X"/>
      </w:pPr>
      <w:r w:rsidRPr="00221DFF">
        <w:rPr>
          <w:lang w:eastAsia="en-AU"/>
        </w:rPr>
        <w:t>Compliance rate of selected regulatory activities</w:t>
      </w:r>
    </w:p>
    <w:p w14:paraId="427BF3F1" w14:textId="77777777" w:rsidR="004C0DBD" w:rsidRDefault="00956F69" w:rsidP="00A6226F">
      <w:pPr>
        <w:spacing w:before="160" w:after="100" w:line="240" w:lineRule="atLeast"/>
        <w:jc w:val="center"/>
        <w:rPr>
          <w:rFonts w:ascii="Arial" w:hAnsi="Arial" w:cs="Arial"/>
        </w:rPr>
      </w:pPr>
      <w:r>
        <w:rPr>
          <w:noProof/>
          <w:lang w:eastAsia="en-AU"/>
        </w:rPr>
        <w:drawing>
          <wp:inline distT="0" distB="0" distL="0" distR="0" wp14:anchorId="2AB8E36F" wp14:editId="766CB6E1">
            <wp:extent cx="4794250" cy="2441575"/>
            <wp:effectExtent l="0" t="0" r="0" b="0"/>
            <wp:docPr id="13" name="Chart 13" descr="Chart 1.8: Compliance rate of selected regulatory activities">
              <a:extLst xmlns:a="http://schemas.openxmlformats.org/drawingml/2006/main">
                <a:ext uri="{FF2B5EF4-FFF2-40B4-BE49-F238E27FC236}">
                  <a16:creationId xmlns:a16="http://schemas.microsoft.com/office/drawing/2014/main" id="{02BFDEB7-C63F-4D53-92E4-6C317FE6DD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B66E9D3" w14:textId="1097A28D" w:rsidR="00C928C8" w:rsidRPr="0054049D" w:rsidRDefault="004E326E" w:rsidP="004E326E">
      <w:pPr>
        <w:spacing w:before="160" w:after="100" w:line="240" w:lineRule="atLeast"/>
        <w:rPr>
          <w:rFonts w:ascii="Arial" w:eastAsia="Times New Roman" w:hAnsi="Arial" w:cs="Arial"/>
          <w:b/>
          <w:kern w:val="28"/>
          <w:sz w:val="17"/>
          <w:szCs w:val="17"/>
        </w:rPr>
      </w:pPr>
      <w:r w:rsidRPr="0054049D">
        <w:rPr>
          <w:rFonts w:ascii="Arial" w:hAnsi="Arial" w:cs="Arial"/>
          <w:sz w:val="17"/>
          <w:szCs w:val="17"/>
        </w:rPr>
        <w:t xml:space="preserve">Note: The target </w:t>
      </w:r>
      <w:r w:rsidR="00390398" w:rsidRPr="0054049D">
        <w:rPr>
          <w:rFonts w:ascii="Arial" w:hAnsi="Arial" w:cs="Arial"/>
          <w:sz w:val="17"/>
          <w:szCs w:val="17"/>
        </w:rPr>
        <w:t xml:space="preserve">for this indicator exists in both 2021-22 and 2022-23, however, has only been included in </w:t>
      </w:r>
      <w:r w:rsidR="006B604C" w:rsidRPr="0054049D">
        <w:rPr>
          <w:rFonts w:ascii="Arial" w:hAnsi="Arial" w:cs="Arial"/>
          <w:sz w:val="17"/>
          <w:szCs w:val="17"/>
        </w:rPr>
        <w:t>2022-23</w:t>
      </w:r>
      <w:r w:rsidR="00F02EED" w:rsidRPr="0054049D">
        <w:rPr>
          <w:rFonts w:ascii="Arial" w:hAnsi="Arial" w:cs="Arial"/>
          <w:sz w:val="17"/>
          <w:szCs w:val="17"/>
        </w:rPr>
        <w:t xml:space="preserve"> for presentational purposes.</w:t>
      </w:r>
      <w:r w:rsidR="00C928C8" w:rsidRPr="0054049D">
        <w:rPr>
          <w:rFonts w:ascii="Arial" w:hAnsi="Arial" w:cs="Arial"/>
          <w:sz w:val="17"/>
          <w:szCs w:val="17"/>
        </w:rPr>
        <w:br w:type="page"/>
      </w:r>
    </w:p>
    <w:p w14:paraId="4DF77651" w14:textId="41FEA6EE" w:rsidR="00AE5092" w:rsidRPr="00DC6435" w:rsidRDefault="00E57A24" w:rsidP="00E218E9">
      <w:pPr>
        <w:pStyle w:val="Heading3"/>
      </w:pPr>
      <w:r>
        <w:t>P</w:t>
      </w:r>
      <w:r w:rsidR="00AE5092">
        <w:t xml:space="preserve">erformance </w:t>
      </w:r>
      <w:r w:rsidR="00AE5092" w:rsidRPr="00E218E9">
        <w:t>indicators</w:t>
      </w:r>
      <w:r w:rsidR="00AE5092">
        <w:t xml:space="preserve"> for this </w:t>
      </w:r>
      <w:r w:rsidR="0054049D">
        <w:t>O</w:t>
      </w:r>
      <w:r w:rsidR="00AE5092">
        <w:t>utcome</w:t>
      </w:r>
    </w:p>
    <w:tbl>
      <w:tblPr>
        <w:tblW w:w="9655" w:type="dxa"/>
        <w:tblLook w:val="04A0" w:firstRow="1" w:lastRow="0" w:firstColumn="1" w:lastColumn="0" w:noHBand="0" w:noVBand="1"/>
        <w:tblCaption w:val="Performance indicators for this Outcome"/>
      </w:tblPr>
      <w:tblGrid>
        <w:gridCol w:w="6537"/>
        <w:gridCol w:w="736"/>
        <w:gridCol w:w="1191"/>
        <w:gridCol w:w="1191"/>
      </w:tblGrid>
      <w:tr w:rsidR="000045E1" w:rsidRPr="00C500DB" w14:paraId="62AE9460" w14:textId="77777777" w:rsidTr="0008190D">
        <w:trPr>
          <w:trHeight w:val="283"/>
        </w:trPr>
        <w:tc>
          <w:tcPr>
            <w:tcW w:w="6537" w:type="dxa"/>
            <w:vMerge w:val="restart"/>
            <w:tcBorders>
              <w:top w:val="nil"/>
              <w:left w:val="nil"/>
              <w:bottom w:val="nil"/>
              <w:right w:val="nil"/>
            </w:tcBorders>
            <w:shd w:val="clear" w:color="auto" w:fill="00426F"/>
            <w:noWrap/>
            <w:vAlign w:val="center"/>
            <w:hideMark/>
          </w:tcPr>
          <w:p w14:paraId="67145C0C" w14:textId="77777777" w:rsidR="000045E1" w:rsidRPr="00C500DB" w:rsidRDefault="000045E1" w:rsidP="000045E1">
            <w:pPr>
              <w:rPr>
                <w:rFonts w:ascii="Arial" w:eastAsia="Times New Roman" w:hAnsi="Arial" w:cs="Arial"/>
                <w:b/>
                <w:bCs/>
                <w:color w:val="FFFFFF"/>
                <w:sz w:val="18"/>
                <w:szCs w:val="18"/>
                <w:lang w:eastAsia="en-AU"/>
              </w:rPr>
            </w:pPr>
            <w:bookmarkStart w:id="12" w:name="_1664711208"/>
            <w:bookmarkEnd w:id="12"/>
            <w:r w:rsidRPr="00C500DB">
              <w:rPr>
                <w:rFonts w:ascii="Arial" w:eastAsia="Times New Roman" w:hAnsi="Arial" w:cs="Arial"/>
                <w:b/>
                <w:bCs/>
                <w:color w:val="FFFFFF"/>
                <w:sz w:val="18"/>
                <w:szCs w:val="18"/>
                <w:lang w:eastAsia="en-AU"/>
              </w:rPr>
              <w:t>Outcome Indicators</w:t>
            </w:r>
          </w:p>
        </w:tc>
        <w:tc>
          <w:tcPr>
            <w:tcW w:w="736" w:type="dxa"/>
            <w:vMerge w:val="restart"/>
            <w:tcBorders>
              <w:top w:val="nil"/>
              <w:left w:val="nil"/>
              <w:bottom w:val="nil"/>
              <w:right w:val="nil"/>
            </w:tcBorders>
            <w:shd w:val="clear" w:color="auto" w:fill="00426F"/>
            <w:noWrap/>
            <w:vAlign w:val="center"/>
            <w:hideMark/>
          </w:tcPr>
          <w:p w14:paraId="131C1B92" w14:textId="77777777" w:rsidR="000045E1" w:rsidRPr="00C500DB" w:rsidRDefault="000045E1" w:rsidP="000045E1">
            <w:pPr>
              <w:jc w:val="center"/>
              <w:rPr>
                <w:rFonts w:ascii="Arial" w:eastAsia="Times New Roman" w:hAnsi="Arial" w:cs="Arial"/>
                <w:b/>
                <w:bCs/>
                <w:color w:val="FFFFFF"/>
                <w:sz w:val="18"/>
                <w:szCs w:val="18"/>
                <w:lang w:eastAsia="en-AU"/>
              </w:rPr>
            </w:pPr>
            <w:r w:rsidRPr="00C500DB">
              <w:rPr>
                <w:rFonts w:ascii="Arial" w:eastAsia="Times New Roman" w:hAnsi="Arial" w:cs="Arial"/>
                <w:b/>
                <w:bCs/>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385A670A" w14:textId="77777777" w:rsidR="000045E1" w:rsidRPr="00C500DB" w:rsidRDefault="000045E1" w:rsidP="00522502">
            <w:pPr>
              <w:jc w:val="center"/>
              <w:rPr>
                <w:rFonts w:ascii="Arial" w:eastAsia="Times New Roman" w:hAnsi="Arial" w:cs="Arial"/>
                <w:b/>
                <w:bCs/>
                <w:color w:val="FFFFFF"/>
                <w:sz w:val="18"/>
                <w:szCs w:val="18"/>
                <w:lang w:eastAsia="en-AU"/>
              </w:rPr>
            </w:pPr>
            <w:r w:rsidRPr="00C500DB">
              <w:rPr>
                <w:rFonts w:ascii="Arial" w:eastAsia="Times New Roman" w:hAnsi="Arial" w:cs="Arial"/>
                <w:b/>
                <w:bCs/>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7F2FAA8B" w14:textId="77777777" w:rsidR="000045E1" w:rsidRPr="00C500DB" w:rsidRDefault="000045E1" w:rsidP="00522502">
            <w:pPr>
              <w:jc w:val="center"/>
              <w:rPr>
                <w:rFonts w:ascii="Arial" w:eastAsia="Times New Roman" w:hAnsi="Arial" w:cs="Arial"/>
                <w:b/>
                <w:bCs/>
                <w:color w:val="FFFFFF"/>
                <w:sz w:val="18"/>
                <w:szCs w:val="18"/>
                <w:lang w:eastAsia="en-AU"/>
              </w:rPr>
            </w:pPr>
            <w:r w:rsidRPr="00C500DB">
              <w:rPr>
                <w:rFonts w:ascii="Arial" w:eastAsia="Times New Roman" w:hAnsi="Arial" w:cs="Arial"/>
                <w:b/>
                <w:bCs/>
                <w:color w:val="FFFFFF"/>
                <w:sz w:val="18"/>
                <w:szCs w:val="18"/>
                <w:lang w:eastAsia="en-AU"/>
              </w:rPr>
              <w:t>2020-21</w:t>
            </w:r>
          </w:p>
        </w:tc>
      </w:tr>
      <w:tr w:rsidR="000045E1" w:rsidRPr="00C500DB" w14:paraId="0BF0D2A0" w14:textId="77777777" w:rsidTr="0008190D">
        <w:trPr>
          <w:trHeight w:val="283"/>
        </w:trPr>
        <w:tc>
          <w:tcPr>
            <w:tcW w:w="6537" w:type="dxa"/>
            <w:vMerge/>
            <w:tcBorders>
              <w:top w:val="nil"/>
              <w:left w:val="nil"/>
              <w:bottom w:val="nil"/>
              <w:right w:val="nil"/>
            </w:tcBorders>
            <w:shd w:val="clear" w:color="auto" w:fill="00426F"/>
            <w:vAlign w:val="center"/>
            <w:hideMark/>
          </w:tcPr>
          <w:p w14:paraId="5E7F06B5" w14:textId="77777777" w:rsidR="000045E1" w:rsidRPr="00C500DB" w:rsidRDefault="000045E1" w:rsidP="000045E1">
            <w:pPr>
              <w:rPr>
                <w:rFonts w:ascii="Arial" w:eastAsia="Times New Roman" w:hAnsi="Arial" w:cs="Arial"/>
                <w:b/>
                <w:bCs/>
                <w:color w:val="FFFFFF"/>
                <w:sz w:val="18"/>
                <w:szCs w:val="18"/>
                <w:lang w:eastAsia="en-AU"/>
              </w:rPr>
            </w:pPr>
          </w:p>
        </w:tc>
        <w:tc>
          <w:tcPr>
            <w:tcW w:w="736" w:type="dxa"/>
            <w:vMerge/>
            <w:tcBorders>
              <w:top w:val="nil"/>
              <w:left w:val="nil"/>
              <w:bottom w:val="nil"/>
              <w:right w:val="nil"/>
            </w:tcBorders>
            <w:shd w:val="clear" w:color="auto" w:fill="00426F"/>
            <w:vAlign w:val="center"/>
            <w:hideMark/>
          </w:tcPr>
          <w:p w14:paraId="4A3133CE" w14:textId="77777777" w:rsidR="000045E1" w:rsidRPr="00C500DB" w:rsidRDefault="000045E1" w:rsidP="000045E1">
            <w:pPr>
              <w:rPr>
                <w:rFonts w:ascii="Arial" w:eastAsia="Times New Roman" w:hAnsi="Arial" w:cs="Arial"/>
                <w:b/>
                <w:bCs/>
                <w:color w:val="FFFFFF"/>
                <w:sz w:val="18"/>
                <w:szCs w:val="18"/>
                <w:lang w:eastAsia="en-AU"/>
              </w:rPr>
            </w:pPr>
          </w:p>
        </w:tc>
        <w:tc>
          <w:tcPr>
            <w:tcW w:w="1191" w:type="dxa"/>
            <w:tcBorders>
              <w:top w:val="nil"/>
              <w:left w:val="nil"/>
              <w:bottom w:val="nil"/>
              <w:right w:val="nil"/>
            </w:tcBorders>
            <w:shd w:val="clear" w:color="auto" w:fill="00426F"/>
            <w:noWrap/>
            <w:hideMark/>
          </w:tcPr>
          <w:p w14:paraId="5C9D4ECF" w14:textId="77777777" w:rsidR="000045E1" w:rsidRPr="00C500DB" w:rsidRDefault="000045E1" w:rsidP="00522502">
            <w:pPr>
              <w:jc w:val="center"/>
              <w:rPr>
                <w:rFonts w:ascii="Arial" w:eastAsia="Times New Roman" w:hAnsi="Arial" w:cs="Arial"/>
                <w:b/>
                <w:bCs/>
                <w:color w:val="FFFFFF"/>
                <w:sz w:val="18"/>
                <w:szCs w:val="18"/>
                <w:lang w:eastAsia="en-AU"/>
              </w:rPr>
            </w:pPr>
            <w:r w:rsidRPr="00C500DB">
              <w:rPr>
                <w:rFonts w:ascii="Arial" w:eastAsia="Times New Roman" w:hAnsi="Arial" w:cs="Arial"/>
                <w:b/>
                <w:bCs/>
                <w:color w:val="FFFFFF"/>
                <w:sz w:val="18"/>
                <w:szCs w:val="18"/>
                <w:lang w:eastAsia="en-AU"/>
              </w:rPr>
              <w:t>Actual</w:t>
            </w:r>
          </w:p>
        </w:tc>
        <w:tc>
          <w:tcPr>
            <w:tcW w:w="1191" w:type="dxa"/>
            <w:tcBorders>
              <w:top w:val="nil"/>
              <w:left w:val="nil"/>
              <w:bottom w:val="nil"/>
              <w:right w:val="nil"/>
            </w:tcBorders>
            <w:shd w:val="clear" w:color="auto" w:fill="00426F"/>
            <w:noWrap/>
            <w:hideMark/>
          </w:tcPr>
          <w:p w14:paraId="19E54766" w14:textId="77777777" w:rsidR="000045E1" w:rsidRPr="00C500DB" w:rsidRDefault="000045E1" w:rsidP="00522502">
            <w:pPr>
              <w:jc w:val="center"/>
              <w:rPr>
                <w:rFonts w:ascii="Arial" w:eastAsia="Times New Roman" w:hAnsi="Arial" w:cs="Arial"/>
                <w:b/>
                <w:bCs/>
                <w:color w:val="FFFFFF"/>
                <w:sz w:val="18"/>
                <w:szCs w:val="18"/>
                <w:lang w:eastAsia="en-AU"/>
              </w:rPr>
            </w:pPr>
            <w:r w:rsidRPr="00C500DB">
              <w:rPr>
                <w:rFonts w:ascii="Arial" w:eastAsia="Times New Roman" w:hAnsi="Arial" w:cs="Arial"/>
                <w:b/>
                <w:bCs/>
                <w:color w:val="FFFFFF"/>
                <w:sz w:val="18"/>
                <w:szCs w:val="18"/>
                <w:lang w:eastAsia="en-AU"/>
              </w:rPr>
              <w:t>Forecast</w:t>
            </w:r>
          </w:p>
        </w:tc>
      </w:tr>
      <w:tr w:rsidR="000045E1" w:rsidRPr="000045E1" w14:paraId="72A0FCEF" w14:textId="77777777" w:rsidTr="0008190D">
        <w:trPr>
          <w:trHeight w:val="204"/>
        </w:trPr>
        <w:tc>
          <w:tcPr>
            <w:tcW w:w="6537" w:type="dxa"/>
            <w:tcBorders>
              <w:top w:val="nil"/>
              <w:left w:val="nil"/>
              <w:bottom w:val="nil"/>
              <w:right w:val="nil"/>
            </w:tcBorders>
            <w:shd w:val="clear" w:color="auto" w:fill="auto"/>
            <w:noWrap/>
            <w:vAlign w:val="bottom"/>
            <w:hideMark/>
          </w:tcPr>
          <w:p w14:paraId="2A1EFB42" w14:textId="77777777" w:rsidR="000045E1" w:rsidRPr="000045E1" w:rsidRDefault="000045E1" w:rsidP="00425F7A">
            <w:pPr>
              <w:rPr>
                <w:rFonts w:ascii="Arial" w:eastAsia="Times New Roman" w:hAnsi="Arial" w:cs="Arial"/>
                <w:color w:val="000000"/>
                <w:sz w:val="16"/>
                <w:szCs w:val="16"/>
                <w:lang w:eastAsia="en-AU"/>
              </w:rPr>
            </w:pPr>
            <w:r w:rsidRPr="000045E1">
              <w:rPr>
                <w:rFonts w:ascii="Arial" w:eastAsia="Times New Roman" w:hAnsi="Arial" w:cs="Arial"/>
                <w:color w:val="000000"/>
                <w:sz w:val="16"/>
                <w:szCs w:val="16"/>
                <w:lang w:eastAsia="en-AU"/>
              </w:rPr>
              <w:t>Affordability of the Compulsory Third Party insurance scheme (Motor vehicles)</w:t>
            </w:r>
          </w:p>
        </w:tc>
        <w:tc>
          <w:tcPr>
            <w:tcW w:w="736" w:type="dxa"/>
            <w:tcBorders>
              <w:top w:val="nil"/>
              <w:left w:val="nil"/>
              <w:bottom w:val="nil"/>
              <w:right w:val="nil"/>
            </w:tcBorders>
            <w:shd w:val="clear" w:color="auto" w:fill="auto"/>
            <w:noWrap/>
            <w:vAlign w:val="bottom"/>
            <w:hideMark/>
          </w:tcPr>
          <w:p w14:paraId="0199E614" w14:textId="77777777" w:rsidR="000045E1" w:rsidRPr="000045E1" w:rsidRDefault="000045E1" w:rsidP="00425F7A">
            <w:pPr>
              <w:jc w:val="center"/>
              <w:rPr>
                <w:rFonts w:ascii="Arial" w:eastAsia="Times New Roman" w:hAnsi="Arial" w:cs="Arial"/>
                <w:color w:val="000000"/>
                <w:sz w:val="16"/>
                <w:szCs w:val="16"/>
                <w:lang w:eastAsia="en-AU"/>
              </w:rPr>
            </w:pPr>
            <w:r w:rsidRPr="000045E1">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000000" w:fill="FFFFFF"/>
            <w:noWrap/>
            <w:vAlign w:val="bottom"/>
            <w:hideMark/>
          </w:tcPr>
          <w:p w14:paraId="081C2B3E" w14:textId="77777777" w:rsidR="000045E1" w:rsidRPr="000045E1" w:rsidRDefault="000045E1" w:rsidP="0008190D">
            <w:pPr>
              <w:ind w:right="170"/>
              <w:jc w:val="right"/>
              <w:rPr>
                <w:rFonts w:ascii="Arial" w:eastAsia="Times New Roman" w:hAnsi="Arial" w:cs="Arial"/>
                <w:color w:val="000000"/>
                <w:sz w:val="16"/>
                <w:szCs w:val="16"/>
                <w:lang w:eastAsia="en-AU"/>
              </w:rPr>
            </w:pPr>
            <w:r w:rsidRPr="000045E1">
              <w:rPr>
                <w:rFonts w:ascii="Arial" w:eastAsia="Times New Roman" w:hAnsi="Arial" w:cs="Arial"/>
                <w:color w:val="000000"/>
                <w:sz w:val="16"/>
                <w:szCs w:val="16"/>
                <w:lang w:eastAsia="en-AU"/>
              </w:rPr>
              <w:t xml:space="preserve">24.4 </w:t>
            </w:r>
          </w:p>
        </w:tc>
        <w:tc>
          <w:tcPr>
            <w:tcW w:w="1191" w:type="dxa"/>
            <w:tcBorders>
              <w:top w:val="nil"/>
              <w:left w:val="nil"/>
              <w:bottom w:val="nil"/>
              <w:right w:val="nil"/>
            </w:tcBorders>
            <w:shd w:val="clear" w:color="000000" w:fill="FFFFFF"/>
            <w:noWrap/>
            <w:vAlign w:val="bottom"/>
            <w:hideMark/>
          </w:tcPr>
          <w:p w14:paraId="3BB38FD0" w14:textId="77777777" w:rsidR="000045E1" w:rsidRPr="000045E1" w:rsidRDefault="000045E1" w:rsidP="0008190D">
            <w:pPr>
              <w:ind w:right="170"/>
              <w:jc w:val="right"/>
              <w:rPr>
                <w:rFonts w:ascii="Arial" w:eastAsia="Times New Roman" w:hAnsi="Arial" w:cs="Arial"/>
                <w:color w:val="000000"/>
                <w:sz w:val="16"/>
                <w:szCs w:val="16"/>
                <w:lang w:eastAsia="en-AU"/>
              </w:rPr>
            </w:pPr>
            <w:r w:rsidRPr="000045E1">
              <w:rPr>
                <w:rFonts w:ascii="Arial" w:eastAsia="Times New Roman" w:hAnsi="Arial" w:cs="Arial"/>
                <w:color w:val="000000"/>
                <w:sz w:val="16"/>
                <w:szCs w:val="16"/>
                <w:lang w:eastAsia="en-AU"/>
              </w:rPr>
              <w:t xml:space="preserve">24.4 </w:t>
            </w:r>
          </w:p>
        </w:tc>
      </w:tr>
      <w:tr w:rsidR="000045E1" w:rsidRPr="000045E1" w14:paraId="48A9F484" w14:textId="77777777" w:rsidTr="0008190D">
        <w:trPr>
          <w:trHeight w:val="204"/>
        </w:trPr>
        <w:tc>
          <w:tcPr>
            <w:tcW w:w="6537" w:type="dxa"/>
            <w:tcBorders>
              <w:top w:val="nil"/>
              <w:left w:val="nil"/>
              <w:bottom w:val="nil"/>
              <w:right w:val="nil"/>
            </w:tcBorders>
            <w:shd w:val="clear" w:color="auto" w:fill="auto"/>
            <w:vAlign w:val="bottom"/>
            <w:hideMark/>
          </w:tcPr>
          <w:p w14:paraId="2514413B" w14:textId="77777777" w:rsidR="000045E1" w:rsidRPr="000045E1" w:rsidRDefault="000045E1" w:rsidP="00425F7A">
            <w:pPr>
              <w:rPr>
                <w:rFonts w:ascii="Arial" w:eastAsia="Times New Roman" w:hAnsi="Arial" w:cs="Arial"/>
                <w:color w:val="000000"/>
                <w:sz w:val="16"/>
                <w:szCs w:val="16"/>
                <w:lang w:eastAsia="en-AU"/>
              </w:rPr>
            </w:pPr>
            <w:r w:rsidRPr="000045E1">
              <w:rPr>
                <w:rFonts w:ascii="Arial" w:eastAsia="Times New Roman" w:hAnsi="Arial" w:cs="Arial"/>
                <w:color w:val="000000"/>
                <w:sz w:val="16"/>
                <w:szCs w:val="16"/>
                <w:lang w:eastAsia="en-AU"/>
              </w:rPr>
              <w:t>Compliance rate of selected regulatory activities</w:t>
            </w:r>
          </w:p>
        </w:tc>
        <w:tc>
          <w:tcPr>
            <w:tcW w:w="736" w:type="dxa"/>
            <w:tcBorders>
              <w:top w:val="nil"/>
              <w:left w:val="nil"/>
              <w:bottom w:val="nil"/>
              <w:right w:val="nil"/>
            </w:tcBorders>
            <w:shd w:val="clear" w:color="auto" w:fill="auto"/>
            <w:noWrap/>
            <w:vAlign w:val="bottom"/>
            <w:hideMark/>
          </w:tcPr>
          <w:p w14:paraId="15173733" w14:textId="77777777" w:rsidR="000045E1" w:rsidRPr="000045E1" w:rsidRDefault="000045E1" w:rsidP="00425F7A">
            <w:pPr>
              <w:jc w:val="center"/>
              <w:rPr>
                <w:rFonts w:ascii="Arial" w:eastAsia="Times New Roman" w:hAnsi="Arial" w:cs="Arial"/>
                <w:color w:val="000000"/>
                <w:sz w:val="16"/>
                <w:szCs w:val="16"/>
                <w:lang w:eastAsia="en-AU"/>
              </w:rPr>
            </w:pPr>
            <w:r w:rsidRPr="000045E1">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000000" w:fill="FFFFFF"/>
            <w:noWrap/>
            <w:vAlign w:val="bottom"/>
            <w:hideMark/>
          </w:tcPr>
          <w:p w14:paraId="36AD4CEF" w14:textId="77777777" w:rsidR="000045E1" w:rsidRPr="000045E1" w:rsidRDefault="000045E1" w:rsidP="0008190D">
            <w:pPr>
              <w:ind w:right="170"/>
              <w:jc w:val="right"/>
              <w:rPr>
                <w:rFonts w:ascii="Arial" w:eastAsia="Times New Roman" w:hAnsi="Arial" w:cs="Arial"/>
                <w:color w:val="000000"/>
                <w:sz w:val="16"/>
                <w:szCs w:val="16"/>
                <w:lang w:eastAsia="en-AU"/>
              </w:rPr>
            </w:pPr>
            <w:r w:rsidRPr="000045E1">
              <w:rPr>
                <w:rFonts w:ascii="Arial" w:eastAsia="Times New Roman" w:hAnsi="Arial" w:cs="Arial"/>
                <w:color w:val="000000"/>
                <w:sz w:val="16"/>
                <w:szCs w:val="16"/>
                <w:lang w:eastAsia="en-AU"/>
              </w:rPr>
              <w:t xml:space="preserve">91.0 </w:t>
            </w:r>
          </w:p>
        </w:tc>
        <w:tc>
          <w:tcPr>
            <w:tcW w:w="1191" w:type="dxa"/>
            <w:tcBorders>
              <w:top w:val="nil"/>
              <w:left w:val="nil"/>
              <w:bottom w:val="nil"/>
              <w:right w:val="nil"/>
            </w:tcBorders>
            <w:shd w:val="clear" w:color="000000" w:fill="FFFFFF"/>
            <w:noWrap/>
            <w:vAlign w:val="bottom"/>
            <w:hideMark/>
          </w:tcPr>
          <w:p w14:paraId="316D4983" w14:textId="77777777" w:rsidR="000045E1" w:rsidRPr="000045E1" w:rsidRDefault="000045E1" w:rsidP="0008190D">
            <w:pPr>
              <w:ind w:right="170"/>
              <w:jc w:val="right"/>
              <w:rPr>
                <w:rFonts w:ascii="Arial" w:eastAsia="Times New Roman" w:hAnsi="Arial" w:cs="Arial"/>
                <w:color w:val="000000"/>
                <w:sz w:val="16"/>
                <w:szCs w:val="16"/>
                <w:lang w:eastAsia="en-AU"/>
              </w:rPr>
            </w:pPr>
            <w:r w:rsidRPr="000045E1">
              <w:rPr>
                <w:rFonts w:ascii="Arial" w:eastAsia="Times New Roman" w:hAnsi="Arial" w:cs="Arial"/>
                <w:color w:val="000000"/>
                <w:sz w:val="16"/>
                <w:szCs w:val="16"/>
                <w:lang w:eastAsia="en-AU"/>
              </w:rPr>
              <w:t xml:space="preserve">91.0 </w:t>
            </w:r>
          </w:p>
        </w:tc>
      </w:tr>
      <w:tr w:rsidR="000045E1" w:rsidRPr="000045E1" w14:paraId="3C4F94B8" w14:textId="77777777" w:rsidTr="0008190D">
        <w:trPr>
          <w:trHeight w:val="408"/>
        </w:trPr>
        <w:tc>
          <w:tcPr>
            <w:tcW w:w="6537" w:type="dxa"/>
            <w:tcBorders>
              <w:top w:val="nil"/>
              <w:left w:val="nil"/>
              <w:bottom w:val="nil"/>
              <w:right w:val="nil"/>
            </w:tcBorders>
            <w:shd w:val="clear" w:color="auto" w:fill="auto"/>
            <w:vAlign w:val="bottom"/>
            <w:hideMark/>
          </w:tcPr>
          <w:p w14:paraId="3B164232" w14:textId="77777777" w:rsidR="000045E1" w:rsidRPr="000045E1" w:rsidRDefault="000045E1" w:rsidP="00425F7A">
            <w:pPr>
              <w:rPr>
                <w:rFonts w:ascii="Arial" w:eastAsia="Times New Roman" w:hAnsi="Arial" w:cs="Arial"/>
                <w:color w:val="000000"/>
                <w:sz w:val="16"/>
                <w:szCs w:val="16"/>
                <w:lang w:eastAsia="en-AU"/>
              </w:rPr>
            </w:pPr>
            <w:r w:rsidRPr="000045E1">
              <w:rPr>
                <w:rFonts w:ascii="Arial" w:eastAsia="Times New Roman" w:hAnsi="Arial" w:cs="Arial"/>
                <w:color w:val="000000"/>
                <w:sz w:val="16"/>
                <w:szCs w:val="16"/>
                <w:lang w:eastAsia="en-AU"/>
              </w:rPr>
              <w:t>Reduced rate of work-related traumatic injury fatalities (worker fatalities per 100,000 employees)</w:t>
            </w:r>
          </w:p>
        </w:tc>
        <w:tc>
          <w:tcPr>
            <w:tcW w:w="736" w:type="dxa"/>
            <w:tcBorders>
              <w:top w:val="nil"/>
              <w:left w:val="nil"/>
              <w:bottom w:val="nil"/>
              <w:right w:val="nil"/>
            </w:tcBorders>
            <w:shd w:val="clear" w:color="auto" w:fill="auto"/>
            <w:noWrap/>
            <w:vAlign w:val="bottom"/>
            <w:hideMark/>
          </w:tcPr>
          <w:p w14:paraId="5FF654A0" w14:textId="77777777" w:rsidR="000045E1" w:rsidRPr="000045E1" w:rsidRDefault="000045E1" w:rsidP="00425F7A">
            <w:pPr>
              <w:jc w:val="center"/>
              <w:rPr>
                <w:rFonts w:ascii="Arial" w:eastAsia="Times New Roman" w:hAnsi="Arial" w:cs="Arial"/>
                <w:color w:val="000000"/>
                <w:sz w:val="16"/>
                <w:szCs w:val="16"/>
                <w:lang w:eastAsia="en-AU"/>
              </w:rPr>
            </w:pPr>
            <w:r w:rsidRPr="000045E1">
              <w:rPr>
                <w:rFonts w:ascii="Arial" w:eastAsia="Times New Roman" w:hAnsi="Arial" w:cs="Arial"/>
                <w:color w:val="000000"/>
                <w:sz w:val="16"/>
                <w:szCs w:val="16"/>
                <w:lang w:eastAsia="en-AU"/>
              </w:rPr>
              <w:t>no.</w:t>
            </w:r>
          </w:p>
        </w:tc>
        <w:tc>
          <w:tcPr>
            <w:tcW w:w="1191" w:type="dxa"/>
            <w:tcBorders>
              <w:top w:val="nil"/>
              <w:left w:val="nil"/>
              <w:bottom w:val="nil"/>
              <w:right w:val="nil"/>
            </w:tcBorders>
            <w:shd w:val="clear" w:color="000000" w:fill="FFFFFF"/>
            <w:noWrap/>
            <w:vAlign w:val="bottom"/>
            <w:hideMark/>
          </w:tcPr>
          <w:p w14:paraId="08195D83" w14:textId="77777777" w:rsidR="000045E1" w:rsidRPr="000045E1" w:rsidRDefault="000045E1" w:rsidP="0008190D">
            <w:pPr>
              <w:ind w:right="170"/>
              <w:jc w:val="right"/>
              <w:rPr>
                <w:rFonts w:ascii="Arial" w:eastAsia="Times New Roman" w:hAnsi="Arial" w:cs="Arial"/>
                <w:color w:val="000000"/>
                <w:sz w:val="16"/>
                <w:szCs w:val="16"/>
                <w:lang w:eastAsia="en-AU"/>
              </w:rPr>
            </w:pPr>
            <w:r w:rsidRPr="000045E1">
              <w:rPr>
                <w:rFonts w:ascii="Arial" w:eastAsia="Times New Roman" w:hAnsi="Arial" w:cs="Arial"/>
                <w:color w:val="000000"/>
                <w:sz w:val="16"/>
                <w:szCs w:val="16"/>
                <w:lang w:eastAsia="en-AU"/>
              </w:rPr>
              <w:t xml:space="preserve">1.42 </w:t>
            </w:r>
          </w:p>
        </w:tc>
        <w:tc>
          <w:tcPr>
            <w:tcW w:w="1191" w:type="dxa"/>
            <w:tcBorders>
              <w:top w:val="nil"/>
              <w:left w:val="nil"/>
              <w:bottom w:val="nil"/>
              <w:right w:val="nil"/>
            </w:tcBorders>
            <w:shd w:val="clear" w:color="000000" w:fill="FFFFFF"/>
            <w:noWrap/>
            <w:vAlign w:val="bottom"/>
            <w:hideMark/>
          </w:tcPr>
          <w:p w14:paraId="502526D5" w14:textId="77777777" w:rsidR="000045E1" w:rsidRPr="000045E1" w:rsidRDefault="000045E1" w:rsidP="0008190D">
            <w:pPr>
              <w:ind w:right="170"/>
              <w:jc w:val="right"/>
              <w:rPr>
                <w:rFonts w:ascii="Arial" w:eastAsia="Times New Roman" w:hAnsi="Arial" w:cs="Arial"/>
                <w:color w:val="000000"/>
                <w:sz w:val="16"/>
                <w:szCs w:val="16"/>
                <w:lang w:eastAsia="en-AU"/>
              </w:rPr>
            </w:pPr>
            <w:r w:rsidRPr="000045E1">
              <w:rPr>
                <w:rFonts w:ascii="Arial" w:eastAsia="Times New Roman" w:hAnsi="Arial" w:cs="Arial"/>
                <w:color w:val="000000"/>
                <w:sz w:val="16"/>
                <w:szCs w:val="16"/>
                <w:lang w:eastAsia="en-AU"/>
              </w:rPr>
              <w:t xml:space="preserve">1.37 </w:t>
            </w:r>
          </w:p>
        </w:tc>
      </w:tr>
    </w:tbl>
    <w:p w14:paraId="4CDB04D7" w14:textId="77777777" w:rsidR="009C3AC7" w:rsidRPr="00F8244B" w:rsidRDefault="009C3AC7" w:rsidP="006D466C">
      <w:pPr>
        <w:rPr>
          <w:rFonts w:ascii="Arial" w:eastAsia="Calibri" w:hAnsi="Arial" w:cs="Arial"/>
          <w:sz w:val="23"/>
          <w:szCs w:val="23"/>
        </w:rPr>
      </w:pPr>
    </w:p>
    <w:sectPr w:rsidR="009C3AC7" w:rsidRPr="00F8244B" w:rsidSect="00DE377D">
      <w:headerReference w:type="even" r:id="rId28"/>
      <w:headerReference w:type="default" r:id="rId29"/>
      <w:headerReference w:type="first" r:id="rId30"/>
      <w:footerReference w:type="first" r:id="rId31"/>
      <w:pgSz w:w="11907" w:h="16840" w:code="9"/>
      <w:pgMar w:top="851" w:right="1134" w:bottom="851"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1A230" w14:textId="77777777" w:rsidR="00346626" w:rsidRDefault="00346626">
      <w:r>
        <w:separator/>
      </w:r>
    </w:p>
  </w:endnote>
  <w:endnote w:type="continuationSeparator" w:id="0">
    <w:p w14:paraId="21D2EE06" w14:textId="77777777" w:rsidR="00346626" w:rsidRDefault="00346626">
      <w:r>
        <w:continuationSeparator/>
      </w:r>
    </w:p>
  </w:endnote>
  <w:endnote w:type="continuationNotice" w:id="1">
    <w:p w14:paraId="5210644F" w14:textId="77777777" w:rsidR="00346626" w:rsidRDefault="00346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8761" w14:textId="7EC2D260" w:rsidR="00155A0E" w:rsidRPr="0022087A" w:rsidRDefault="0022087A" w:rsidP="0022087A">
    <w:pPr>
      <w:pStyle w:val="Footer"/>
      <w:pBdr>
        <w:top w:val="single" w:sz="4" w:space="4" w:color="auto"/>
      </w:pBdr>
      <w:tabs>
        <w:tab w:val="clear" w:pos="7655"/>
        <w:tab w:val="right" w:pos="9639"/>
      </w:tabs>
      <w:rPr>
        <w:szCs w:val="18"/>
      </w:rPr>
    </w:pPr>
    <w:r>
      <w:rPr>
        <w:szCs w:val="18"/>
      </w:rPr>
      <w:t>1</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392D47">
      <w:rPr>
        <w:noProof/>
        <w:szCs w:val="18"/>
      </w:rPr>
      <w:t>10</w:t>
    </w:r>
    <w:r w:rsidRPr="00D67CF6">
      <w:rPr>
        <w:szCs w:val="18"/>
      </w:rPr>
      <w:fldChar w:fldCharType="end"/>
    </w:r>
    <w:r>
      <w:rPr>
        <w:szCs w:val="18"/>
      </w:rPr>
      <w:tab/>
    </w:r>
    <w:r w:rsidRPr="00913FBD">
      <w:rPr>
        <w:szCs w:val="14"/>
      </w:rPr>
      <w:t>Outcome</w:t>
    </w:r>
    <w:r w:rsidR="005818B2">
      <w:rPr>
        <w:szCs w:val="14"/>
      </w:rPr>
      <w:t>s</w:t>
    </w:r>
    <w:r w:rsidRPr="00913FBD">
      <w:rPr>
        <w:szCs w:val="14"/>
      </w:rPr>
      <w:t xml:space="preserve"> Statement 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37F0" w14:textId="43F6A51B" w:rsidR="00155A0E" w:rsidRPr="00393A12" w:rsidRDefault="00393A12" w:rsidP="00393A12">
    <w:pPr>
      <w:pStyle w:val="Footer"/>
      <w:pBdr>
        <w:top w:val="single" w:sz="4" w:space="4" w:color="auto"/>
      </w:pBdr>
      <w:tabs>
        <w:tab w:val="clear" w:pos="7655"/>
        <w:tab w:val="right" w:pos="9639"/>
      </w:tabs>
      <w:rPr>
        <w:rFonts w:cs="Arial"/>
        <w:szCs w:val="18"/>
      </w:rPr>
    </w:pPr>
    <w:r w:rsidRPr="00913FBD">
      <w:rPr>
        <w:szCs w:val="14"/>
      </w:rPr>
      <w:t>Outcome</w:t>
    </w:r>
    <w:r w:rsidR="005818B2">
      <w:rPr>
        <w:szCs w:val="14"/>
      </w:rPr>
      <w:t>s</w:t>
    </w:r>
    <w:r w:rsidRPr="00913FBD">
      <w:rPr>
        <w:szCs w:val="14"/>
      </w:rPr>
      <w:t xml:space="preserve"> Statement 2020-21</w:t>
    </w:r>
    <w:r w:rsidRPr="00B07CC2">
      <w:rPr>
        <w:rFonts w:cs="Arial"/>
        <w:szCs w:val="18"/>
      </w:rPr>
      <w:tab/>
      <w:t xml:space="preserve">1 -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sidR="00392D47">
      <w:rPr>
        <w:rFonts w:cs="Arial"/>
        <w:noProof/>
        <w:szCs w:val="18"/>
      </w:rPr>
      <w:t>9</w:t>
    </w:r>
    <w:r w:rsidRPr="00B07CC2">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C32C" w14:textId="66774430" w:rsidR="00427423" w:rsidRPr="00F67A26" w:rsidRDefault="00CE1B01" w:rsidP="00FD4913">
    <w:pPr>
      <w:pStyle w:val="Footer"/>
      <w:pBdr>
        <w:top w:val="single" w:sz="4" w:space="4" w:color="auto"/>
      </w:pBdr>
      <w:tabs>
        <w:tab w:val="clear" w:pos="7655"/>
        <w:tab w:val="right" w:pos="9639"/>
      </w:tabs>
      <w:rPr>
        <w:szCs w:val="14"/>
      </w:rPr>
    </w:pPr>
    <w:r w:rsidRPr="00913FBD">
      <w:rPr>
        <w:szCs w:val="14"/>
      </w:rPr>
      <w:t>Outcome</w:t>
    </w:r>
    <w:r w:rsidR="005818B2">
      <w:rPr>
        <w:szCs w:val="14"/>
      </w:rPr>
      <w:t>s</w:t>
    </w:r>
    <w:r w:rsidRPr="00913FBD">
      <w:rPr>
        <w:szCs w:val="14"/>
      </w:rPr>
      <w:t xml:space="preserve"> Statement 2020-21</w:t>
    </w:r>
    <w:r w:rsidR="000B1EB4" w:rsidRPr="00B07CC2">
      <w:rPr>
        <w:rFonts w:cs="Arial"/>
        <w:szCs w:val="18"/>
      </w:rPr>
      <w:tab/>
      <w:t xml:space="preserve">1 - </w:t>
    </w:r>
    <w:r w:rsidR="000B1EB4" w:rsidRPr="00B07CC2">
      <w:rPr>
        <w:rFonts w:cs="Arial"/>
        <w:szCs w:val="18"/>
      </w:rPr>
      <w:fldChar w:fldCharType="begin"/>
    </w:r>
    <w:r w:rsidR="000B1EB4" w:rsidRPr="00B07CC2">
      <w:rPr>
        <w:rFonts w:cs="Arial"/>
        <w:szCs w:val="18"/>
      </w:rPr>
      <w:instrText xml:space="preserve"> PAGE  \* MERGEFORMAT </w:instrText>
    </w:r>
    <w:r w:rsidR="000B1EB4" w:rsidRPr="00B07CC2">
      <w:rPr>
        <w:rFonts w:cs="Arial"/>
        <w:szCs w:val="18"/>
      </w:rPr>
      <w:fldChar w:fldCharType="separate"/>
    </w:r>
    <w:r w:rsidR="009A293F">
      <w:rPr>
        <w:rFonts w:cs="Arial"/>
        <w:noProof/>
        <w:szCs w:val="18"/>
      </w:rPr>
      <w:t>1</w:t>
    </w:r>
    <w:r w:rsidR="000B1EB4" w:rsidRPr="00B07CC2">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5E9F" w14:textId="45F86B90" w:rsidR="00112914" w:rsidRDefault="00112914" w:rsidP="00FD4913">
    <w:pPr>
      <w:pStyle w:val="Footer"/>
      <w:pBdr>
        <w:top w:val="single" w:sz="4" w:space="4" w:color="auto"/>
      </w:pBdr>
      <w:tabs>
        <w:tab w:val="clear" w:pos="7655"/>
        <w:tab w:val="right" w:pos="9639"/>
      </w:tabs>
      <w:rPr>
        <w:szCs w:val="14"/>
      </w:rPr>
    </w:pPr>
    <w:r w:rsidRPr="00B07CC2">
      <w:rPr>
        <w:rFonts w:cs="Arial"/>
        <w:szCs w:val="18"/>
      </w:rPr>
      <w:t xml:space="preserve">1 -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sidR="00392D47">
      <w:rPr>
        <w:rFonts w:cs="Arial"/>
        <w:noProof/>
        <w:szCs w:val="18"/>
      </w:rPr>
      <w:t>7</w:t>
    </w:r>
    <w:r w:rsidRPr="00B07CC2">
      <w:rPr>
        <w:rFonts w:cs="Arial"/>
        <w:szCs w:val="18"/>
      </w:rPr>
      <w:fldChar w:fldCharType="end"/>
    </w:r>
    <w:r>
      <w:rPr>
        <w:rFonts w:cs="Arial"/>
        <w:szCs w:val="18"/>
      </w:rPr>
      <w:tab/>
    </w:r>
    <w:r w:rsidRPr="00913FBD">
      <w:rPr>
        <w:szCs w:val="14"/>
      </w:rPr>
      <w:t>Outcome</w:t>
    </w:r>
    <w:r>
      <w:rPr>
        <w:szCs w:val="14"/>
      </w:rPr>
      <w:t>s</w:t>
    </w:r>
    <w:r w:rsidRPr="00913FBD">
      <w:rPr>
        <w:szCs w:val="14"/>
      </w:rPr>
      <w:t xml:space="preserve"> Statement 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191D6" w14:textId="77777777" w:rsidR="00346626" w:rsidRDefault="00346626">
      <w:r>
        <w:separator/>
      </w:r>
    </w:p>
  </w:footnote>
  <w:footnote w:type="continuationSeparator" w:id="0">
    <w:p w14:paraId="241BF43C" w14:textId="77777777" w:rsidR="00346626" w:rsidRDefault="00346626">
      <w:r>
        <w:continuationSeparator/>
      </w:r>
    </w:p>
  </w:footnote>
  <w:footnote w:type="continuationNotice" w:id="1">
    <w:p w14:paraId="36AAE9B1" w14:textId="77777777" w:rsidR="00346626" w:rsidRDefault="003466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892F" w14:textId="491856B4" w:rsidR="00ED69E2" w:rsidRPr="00ED69E2" w:rsidRDefault="00ED69E2" w:rsidP="00ED69E2">
    <w:pPr>
      <w:pStyle w:val="HeaderHeading"/>
      <w:pageBreakBefore w:val="0"/>
      <w:pBdr>
        <w:bottom w:val="single" w:sz="4" w:space="4" w:color="auto"/>
      </w:pBdr>
      <w:rPr>
        <w:rFonts w:ascii="Arial" w:hAnsi="Arial"/>
        <w:sz w:val="18"/>
        <w:szCs w:val="18"/>
      </w:rPr>
    </w:pPr>
    <w:r w:rsidRPr="00ED69E2">
      <w:rPr>
        <w:rFonts w:ascii="Arial" w:hAnsi="Arial"/>
        <w:sz w:val="18"/>
        <w:szCs w:val="18"/>
      </w:rPr>
      <w:t>Customer Service Cluster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D827" w14:textId="45C30B76" w:rsidR="00427423" w:rsidRPr="00ED69E2" w:rsidRDefault="00ED69E2" w:rsidP="00ED69E2">
    <w:pPr>
      <w:pStyle w:val="HeaderHeading"/>
      <w:pageBreakBefore w:val="0"/>
      <w:pBdr>
        <w:bottom w:val="single" w:sz="4" w:space="4" w:color="auto"/>
      </w:pBdr>
      <w:jc w:val="right"/>
      <w:rPr>
        <w:rFonts w:ascii="Arial" w:hAnsi="Arial"/>
        <w:sz w:val="18"/>
        <w:szCs w:val="18"/>
      </w:rPr>
    </w:pPr>
    <w:r w:rsidRPr="00ED69E2">
      <w:rPr>
        <w:rFonts w:ascii="Arial" w:hAnsi="Arial"/>
        <w:sz w:val="18"/>
        <w:szCs w:val="18"/>
      </w:rPr>
      <w:t>Customer Service Cluster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F13C" w14:textId="46446660" w:rsidR="005F6AA1" w:rsidRDefault="005F6A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831A" w14:textId="1341EFAF" w:rsidR="00DC20CD" w:rsidRPr="00ED69E2" w:rsidRDefault="00DC20CD" w:rsidP="00DC20CD">
    <w:pPr>
      <w:pStyle w:val="HeaderHeading"/>
      <w:pageBreakBefore w:val="0"/>
      <w:pBdr>
        <w:bottom w:val="single" w:sz="4" w:space="4" w:color="auto"/>
      </w:pBdr>
      <w:rPr>
        <w:rFonts w:ascii="Arial" w:hAnsi="Arial"/>
        <w:sz w:val="18"/>
        <w:szCs w:val="18"/>
      </w:rPr>
    </w:pPr>
    <w:r w:rsidRPr="00ED69E2">
      <w:rPr>
        <w:rFonts w:ascii="Arial" w:hAnsi="Arial"/>
        <w:sz w:val="18"/>
        <w:szCs w:val="18"/>
      </w:rPr>
      <w:t>Customer Service Cluster</w:t>
    </w:r>
  </w:p>
  <w:p w14:paraId="05A64840" w14:textId="4B382F25" w:rsidR="00871287" w:rsidRDefault="008712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FBBB" w14:textId="6394BEED" w:rsidR="00DC20CD" w:rsidRPr="00ED69E2" w:rsidRDefault="00DC20CD" w:rsidP="00DC20CD">
    <w:pPr>
      <w:pStyle w:val="HeaderHeading"/>
      <w:pageBreakBefore w:val="0"/>
      <w:pBdr>
        <w:bottom w:val="single" w:sz="4" w:space="4" w:color="auto"/>
      </w:pBdr>
      <w:jc w:val="right"/>
      <w:rPr>
        <w:rFonts w:ascii="Arial" w:hAnsi="Arial"/>
        <w:sz w:val="18"/>
        <w:szCs w:val="18"/>
      </w:rPr>
    </w:pPr>
    <w:r w:rsidRPr="00ED69E2">
      <w:rPr>
        <w:rFonts w:ascii="Arial" w:hAnsi="Arial"/>
        <w:sz w:val="18"/>
        <w:szCs w:val="18"/>
      </w:rPr>
      <w:t>Customer Service Cluster</w:t>
    </w:r>
  </w:p>
  <w:p w14:paraId="2BB156C1" w14:textId="45757FD9" w:rsidR="00871287" w:rsidRDefault="008712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6B3F" w14:textId="5C6D6655" w:rsidR="00D412DE" w:rsidRPr="00ED69E2" w:rsidRDefault="00D412DE" w:rsidP="00D412DE">
    <w:pPr>
      <w:pStyle w:val="HeaderHeading"/>
      <w:pageBreakBefore w:val="0"/>
      <w:pBdr>
        <w:bottom w:val="single" w:sz="4" w:space="4" w:color="auto"/>
      </w:pBdr>
      <w:rPr>
        <w:rFonts w:ascii="Arial" w:hAnsi="Arial"/>
        <w:sz w:val="18"/>
        <w:szCs w:val="18"/>
      </w:rPr>
    </w:pPr>
    <w:r w:rsidRPr="00ED69E2">
      <w:rPr>
        <w:rFonts w:ascii="Arial" w:hAnsi="Arial"/>
        <w:sz w:val="18"/>
        <w:szCs w:val="18"/>
      </w:rPr>
      <w:t>Customer Service Cluster</w:t>
    </w:r>
  </w:p>
  <w:p w14:paraId="0DAED89E" w14:textId="1E129DB0" w:rsidR="00871287" w:rsidRDefault="00871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379"/>
    <w:multiLevelType w:val="hybridMultilevel"/>
    <w:tmpl w:val="1F8213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DE5882"/>
    <w:multiLevelType w:val="hybridMultilevel"/>
    <w:tmpl w:val="022A7A84"/>
    <w:lvl w:ilvl="0" w:tplc="C6AC4694">
      <w:start w:val="1"/>
      <w:numFmt w:val="bullet"/>
      <w:pStyle w:val="Bullet3"/>
      <w:lvlText w:val=""/>
      <w:lvlJc w:val="left"/>
      <w:pPr>
        <w:tabs>
          <w:tab w:val="num" w:pos="1276"/>
        </w:tabs>
        <w:ind w:left="1276" w:hanging="425"/>
      </w:pPr>
      <w:rPr>
        <w:rFonts w:ascii="Symbol" w:hAnsi="Symbol" w:hint="default"/>
        <w:sz w:val="22"/>
      </w:rPr>
    </w:lvl>
    <w:lvl w:ilvl="1" w:tplc="1FEAB168">
      <w:numFmt w:val="decimal"/>
      <w:lvlText w:val=""/>
      <w:lvlJc w:val="left"/>
    </w:lvl>
    <w:lvl w:ilvl="2" w:tplc="5EBCEAF8">
      <w:numFmt w:val="decimal"/>
      <w:lvlText w:val=""/>
      <w:lvlJc w:val="left"/>
    </w:lvl>
    <w:lvl w:ilvl="3" w:tplc="F3AA537E">
      <w:numFmt w:val="decimal"/>
      <w:lvlText w:val=""/>
      <w:lvlJc w:val="left"/>
    </w:lvl>
    <w:lvl w:ilvl="4" w:tplc="81B47E48">
      <w:numFmt w:val="decimal"/>
      <w:lvlText w:val=""/>
      <w:lvlJc w:val="left"/>
    </w:lvl>
    <w:lvl w:ilvl="5" w:tplc="0A780050">
      <w:numFmt w:val="decimal"/>
      <w:lvlText w:val=""/>
      <w:lvlJc w:val="left"/>
    </w:lvl>
    <w:lvl w:ilvl="6" w:tplc="6868C446">
      <w:numFmt w:val="decimal"/>
      <w:lvlText w:val=""/>
      <w:lvlJc w:val="left"/>
    </w:lvl>
    <w:lvl w:ilvl="7" w:tplc="50565904">
      <w:numFmt w:val="decimal"/>
      <w:lvlText w:val=""/>
      <w:lvlJc w:val="left"/>
    </w:lvl>
    <w:lvl w:ilvl="8" w:tplc="4FC46E12">
      <w:numFmt w:val="decimal"/>
      <w:lvlText w:val=""/>
      <w:lvlJc w:val="left"/>
    </w:lvl>
  </w:abstractNum>
  <w:abstractNum w:abstractNumId="2" w15:restartNumberingAfterBreak="0">
    <w:nsid w:val="117E4323"/>
    <w:multiLevelType w:val="hybridMultilevel"/>
    <w:tmpl w:val="C0B0B8A4"/>
    <w:lvl w:ilvl="0" w:tplc="FFFFFFFF">
      <w:start w:val="1"/>
      <w:numFmt w:val="decimal"/>
      <w:pStyle w:val="Table2X"/>
      <w:lvlText w:val="Table 1.%1:"/>
      <w:lvlJc w:val="left"/>
      <w:pPr>
        <w:ind w:left="360" w:hanging="360"/>
      </w:pPr>
      <w:rPr>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02B496D"/>
    <w:multiLevelType w:val="hybridMultilevel"/>
    <w:tmpl w:val="14123658"/>
    <w:lvl w:ilvl="0" w:tplc="EA9E4C92">
      <w:start w:val="1"/>
      <w:numFmt w:val="lowerLetter"/>
      <w:lvlText w:val="(%1)"/>
      <w:lvlJc w:val="left"/>
      <w:pPr>
        <w:ind w:left="720" w:hanging="360"/>
      </w:pPr>
      <w:rPr>
        <w:rFonts w:eastAsia="Times New Roman" w:hint="default"/>
        <w:color w:val="000000"/>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AC1EF5"/>
    <w:multiLevelType w:val="hybridMultilevel"/>
    <w:tmpl w:val="641E53FE"/>
    <w:lvl w:ilvl="0" w:tplc="CCF6A330">
      <w:start w:val="1"/>
      <w:numFmt w:val="lowerLetter"/>
      <w:lvlText w:val="(%1)"/>
      <w:lvlJc w:val="left"/>
      <w:pPr>
        <w:ind w:left="720" w:hanging="360"/>
      </w:pPr>
      <w:rPr>
        <w:rFonts w:eastAsia="Times New Roman" w:hint="default"/>
        <w:color w:val="auto"/>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FC1566"/>
    <w:multiLevelType w:val="hybridMultilevel"/>
    <w:tmpl w:val="4AA2B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BB114B"/>
    <w:multiLevelType w:val="hybridMultilevel"/>
    <w:tmpl w:val="8A2C419C"/>
    <w:lvl w:ilvl="0" w:tplc="8970277E">
      <w:start w:val="1"/>
      <w:numFmt w:val="bullet"/>
      <w:pStyle w:val="Bullet1inabox"/>
      <w:lvlText w:val=""/>
      <w:lvlJc w:val="left"/>
      <w:pPr>
        <w:ind w:left="720" w:hanging="360"/>
      </w:pPr>
      <w:rPr>
        <w:rFonts w:ascii="Symbol" w:hAnsi="Symbol" w:hint="default"/>
        <w:color w:val="008E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620255"/>
    <w:multiLevelType w:val="hybridMultilevel"/>
    <w:tmpl w:val="69742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BB9441E"/>
    <w:multiLevelType w:val="hybridMultilevel"/>
    <w:tmpl w:val="C4767E5A"/>
    <w:lvl w:ilvl="0" w:tplc="11C4EB6A">
      <w:start w:val="1"/>
      <w:numFmt w:val="decimal"/>
      <w:pStyle w:val="BoxHeading"/>
      <w:lvlText w:val="Box 1.%1:"/>
      <w:lvlJc w:val="left"/>
      <w:pPr>
        <w:ind w:left="720" w:hanging="360"/>
      </w:pPr>
      <w:rPr>
        <w:rFonts w:ascii="Arial Bold" w:hAnsi="Arial Bold"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5E1517"/>
    <w:multiLevelType w:val="hybridMultilevel"/>
    <w:tmpl w:val="FE7A4732"/>
    <w:lvl w:ilvl="0" w:tplc="BFB03B94">
      <w:start w:val="1"/>
      <w:numFmt w:val="decimal"/>
      <w:pStyle w:val="Table11"/>
      <w:lvlText w:val="Table 1.%1:"/>
      <w:lvlJc w:val="left"/>
      <w:pPr>
        <w:ind w:left="360" w:hanging="360"/>
      </w:pPr>
      <w:rPr>
        <w:rFonts w:ascii="Arial" w:hAnsi="Arial"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542F0E"/>
    <w:multiLevelType w:val="hybridMultilevel"/>
    <w:tmpl w:val="AD6A459E"/>
    <w:lvl w:ilvl="0" w:tplc="CA8AC36C">
      <w:start w:val="1"/>
      <w:numFmt w:val="decimal"/>
      <w:pStyle w:val="Chart4X"/>
      <w:lvlText w:val="Chart 3.%1:"/>
      <w:lvlJc w:val="left"/>
      <w:pPr>
        <w:ind w:left="360"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4E75030"/>
    <w:multiLevelType w:val="hybridMultilevel"/>
    <w:tmpl w:val="A614C9BA"/>
    <w:lvl w:ilvl="0" w:tplc="1E0C254E">
      <w:start w:val="1"/>
      <w:numFmt w:val="decimal"/>
      <w:pStyle w:val="Heading2"/>
      <w:lvlText w:val="1.%1"/>
      <w:lvlJc w:val="left"/>
      <w:pPr>
        <w:ind w:left="6313" w:hanging="360"/>
      </w:pPr>
      <w:rPr>
        <w:rFonts w:ascii="Arial Bold" w:hAnsi="Arial Bold" w:hint="default"/>
        <w:b/>
        <w:i w:val="0"/>
        <w:color w:val="53C8E9"/>
        <w:sz w:val="28"/>
        <w:u w:color="53C8E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6A572E"/>
    <w:multiLevelType w:val="hybridMultilevel"/>
    <w:tmpl w:val="2B104A04"/>
    <w:lvl w:ilvl="0" w:tplc="FFFFFFFF">
      <w:start w:val="1"/>
      <w:numFmt w:val="decimal"/>
      <w:pStyle w:val="Chart1X"/>
      <w:lvlText w:val="Chart 1.%1:"/>
      <w:lvlJc w:val="left"/>
      <w:pPr>
        <w:ind w:left="8156" w:hanging="360"/>
      </w:pPr>
      <w:rPr>
        <w:b w:val="0"/>
        <w:i/>
        <w:caps w:val="0"/>
        <w:color w:val="4F4F4F"/>
        <w:sz w:val="22"/>
        <w:u w:val="none"/>
      </w:rPr>
    </w:lvl>
    <w:lvl w:ilvl="1" w:tplc="0C090019" w:tentative="1">
      <w:start w:val="1"/>
      <w:numFmt w:val="lowerLetter"/>
      <w:lvlText w:val="%2."/>
      <w:lvlJc w:val="left"/>
      <w:pPr>
        <w:ind w:left="8387" w:hanging="360"/>
      </w:pPr>
    </w:lvl>
    <w:lvl w:ilvl="2" w:tplc="0C09001B" w:tentative="1">
      <w:start w:val="1"/>
      <w:numFmt w:val="lowerRoman"/>
      <w:lvlText w:val="%3."/>
      <w:lvlJc w:val="right"/>
      <w:pPr>
        <w:ind w:left="9107" w:hanging="180"/>
      </w:pPr>
    </w:lvl>
    <w:lvl w:ilvl="3" w:tplc="0C09000F" w:tentative="1">
      <w:start w:val="1"/>
      <w:numFmt w:val="decimal"/>
      <w:lvlText w:val="%4."/>
      <w:lvlJc w:val="left"/>
      <w:pPr>
        <w:ind w:left="9827" w:hanging="360"/>
      </w:pPr>
    </w:lvl>
    <w:lvl w:ilvl="4" w:tplc="0C090019" w:tentative="1">
      <w:start w:val="1"/>
      <w:numFmt w:val="lowerLetter"/>
      <w:lvlText w:val="%5."/>
      <w:lvlJc w:val="left"/>
      <w:pPr>
        <w:ind w:left="10547" w:hanging="360"/>
      </w:pPr>
    </w:lvl>
    <w:lvl w:ilvl="5" w:tplc="0C09001B" w:tentative="1">
      <w:start w:val="1"/>
      <w:numFmt w:val="lowerRoman"/>
      <w:lvlText w:val="%6."/>
      <w:lvlJc w:val="right"/>
      <w:pPr>
        <w:ind w:left="11267" w:hanging="180"/>
      </w:pPr>
    </w:lvl>
    <w:lvl w:ilvl="6" w:tplc="0C09000F" w:tentative="1">
      <w:start w:val="1"/>
      <w:numFmt w:val="decimal"/>
      <w:lvlText w:val="%7."/>
      <w:lvlJc w:val="left"/>
      <w:pPr>
        <w:ind w:left="11987" w:hanging="360"/>
      </w:pPr>
    </w:lvl>
    <w:lvl w:ilvl="7" w:tplc="0C090019" w:tentative="1">
      <w:start w:val="1"/>
      <w:numFmt w:val="lowerLetter"/>
      <w:lvlText w:val="%8."/>
      <w:lvlJc w:val="left"/>
      <w:pPr>
        <w:ind w:left="12707" w:hanging="360"/>
      </w:pPr>
    </w:lvl>
    <w:lvl w:ilvl="8" w:tplc="0C09001B" w:tentative="1">
      <w:start w:val="1"/>
      <w:numFmt w:val="lowerRoman"/>
      <w:lvlText w:val="%9."/>
      <w:lvlJc w:val="right"/>
      <w:pPr>
        <w:ind w:left="13427" w:hanging="180"/>
      </w:pPr>
    </w:lvl>
  </w:abstractNum>
  <w:abstractNum w:abstractNumId="14" w15:restartNumberingAfterBreak="0">
    <w:nsid w:val="6D633B70"/>
    <w:multiLevelType w:val="hybridMultilevel"/>
    <w:tmpl w:val="D91EFFA0"/>
    <w:lvl w:ilvl="0" w:tplc="A3D84086">
      <w:start w:val="1"/>
      <w:numFmt w:val="decimal"/>
      <w:pStyle w:val="Box11BoxHeading"/>
      <w:lvlText w:val="Box 1.%1:"/>
      <w:lvlJc w:val="left"/>
      <w:pPr>
        <w:ind w:left="72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6B71F0"/>
    <w:multiLevelType w:val="hybridMultilevel"/>
    <w:tmpl w:val="919E0636"/>
    <w:lvl w:ilvl="0" w:tplc="A3FEEC18">
      <w:start w:val="1"/>
      <w:numFmt w:val="decimal"/>
      <w:pStyle w:val="11Heading2"/>
      <w:lvlText w:val="1.%1"/>
      <w:lvlJc w:val="left"/>
      <w:pPr>
        <w:ind w:left="360" w:hanging="360"/>
      </w:pPr>
      <w:rPr>
        <w:rFonts w:ascii="Arial Bold" w:hAnsi="Arial Bold" w:hint="default"/>
        <w:b/>
        <w:i w:val="0"/>
        <w:sz w:val="28"/>
        <w:u w:color="00ABE6"/>
      </w:rPr>
    </w:lvl>
    <w:lvl w:ilvl="1" w:tplc="0C090019" w:tentative="1">
      <w:start w:val="1"/>
      <w:numFmt w:val="lowerLetter"/>
      <w:lvlText w:val="%2."/>
      <w:lvlJc w:val="left"/>
      <w:pPr>
        <w:ind w:left="-3379" w:hanging="360"/>
      </w:pPr>
    </w:lvl>
    <w:lvl w:ilvl="2" w:tplc="0C09001B" w:tentative="1">
      <w:start w:val="1"/>
      <w:numFmt w:val="lowerRoman"/>
      <w:lvlText w:val="%3."/>
      <w:lvlJc w:val="right"/>
      <w:pPr>
        <w:ind w:left="-2659" w:hanging="180"/>
      </w:pPr>
    </w:lvl>
    <w:lvl w:ilvl="3" w:tplc="0C09000F" w:tentative="1">
      <w:start w:val="1"/>
      <w:numFmt w:val="decimal"/>
      <w:lvlText w:val="%4."/>
      <w:lvlJc w:val="left"/>
      <w:pPr>
        <w:ind w:left="-1939" w:hanging="360"/>
      </w:pPr>
    </w:lvl>
    <w:lvl w:ilvl="4" w:tplc="0C090019" w:tentative="1">
      <w:start w:val="1"/>
      <w:numFmt w:val="lowerLetter"/>
      <w:lvlText w:val="%5."/>
      <w:lvlJc w:val="left"/>
      <w:pPr>
        <w:ind w:left="-1219" w:hanging="360"/>
      </w:pPr>
    </w:lvl>
    <w:lvl w:ilvl="5" w:tplc="0C09001B" w:tentative="1">
      <w:start w:val="1"/>
      <w:numFmt w:val="lowerRoman"/>
      <w:lvlText w:val="%6."/>
      <w:lvlJc w:val="right"/>
      <w:pPr>
        <w:ind w:left="-499" w:hanging="180"/>
      </w:pPr>
    </w:lvl>
    <w:lvl w:ilvl="6" w:tplc="0C09000F" w:tentative="1">
      <w:start w:val="1"/>
      <w:numFmt w:val="decimal"/>
      <w:lvlText w:val="%7."/>
      <w:lvlJc w:val="left"/>
      <w:pPr>
        <w:ind w:left="221" w:hanging="360"/>
      </w:pPr>
    </w:lvl>
    <w:lvl w:ilvl="7" w:tplc="0C090019" w:tentative="1">
      <w:start w:val="1"/>
      <w:numFmt w:val="lowerLetter"/>
      <w:lvlText w:val="%8."/>
      <w:lvlJc w:val="left"/>
      <w:pPr>
        <w:ind w:left="941" w:hanging="360"/>
      </w:pPr>
    </w:lvl>
    <w:lvl w:ilvl="8" w:tplc="0C09001B" w:tentative="1">
      <w:start w:val="1"/>
      <w:numFmt w:val="lowerRoman"/>
      <w:lvlText w:val="%9."/>
      <w:lvlJc w:val="right"/>
      <w:pPr>
        <w:ind w:left="1661" w:hanging="180"/>
      </w:pPr>
    </w:lvl>
  </w:abstractNum>
  <w:abstractNum w:abstractNumId="16" w15:restartNumberingAfterBreak="0">
    <w:nsid w:val="6DDE3D2F"/>
    <w:multiLevelType w:val="hybridMultilevel"/>
    <w:tmpl w:val="FBF6AA6C"/>
    <w:lvl w:ilvl="0" w:tplc="76A2BEF2">
      <w:start w:val="1"/>
      <w:numFmt w:val="decimal"/>
      <w:pStyle w:val="Chart11"/>
      <w:lvlText w:val="Chart 1.%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061322"/>
    <w:multiLevelType w:val="hybridMultilevel"/>
    <w:tmpl w:val="4D6A7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45E1539"/>
    <w:multiLevelType w:val="hybridMultilevel"/>
    <w:tmpl w:val="0688D3A6"/>
    <w:lvl w:ilvl="0" w:tplc="02D877DE">
      <w:start w:val="1"/>
      <w:numFmt w:val="bullet"/>
      <w:pStyle w:val="Bullet1"/>
      <w:lvlText w:val=""/>
      <w:lvlJc w:val="left"/>
      <w:pPr>
        <w:ind w:left="36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81660D"/>
    <w:multiLevelType w:val="multilevel"/>
    <w:tmpl w:val="42FAC6E8"/>
    <w:lvl w:ilvl="0">
      <w:start w:val="1"/>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8010E7F"/>
    <w:multiLevelType w:val="hybridMultilevel"/>
    <w:tmpl w:val="A06E3D7C"/>
    <w:lvl w:ilvl="0" w:tplc="B2BEB21A">
      <w:start w:val="1"/>
      <w:numFmt w:val="bullet"/>
      <w:pStyle w:val="Bullet2inabox"/>
      <w:lvlText w:val=""/>
      <w:lvlJc w:val="left"/>
      <w:pPr>
        <w:ind w:left="360" w:hanging="360"/>
      </w:pPr>
      <w:rPr>
        <w:rFonts w:ascii="Symbol" w:hAnsi="Symbol" w:hint="default"/>
        <w:color w:val="auto"/>
        <w:sz w:val="23"/>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5"/>
  </w:num>
  <w:num w:numId="4">
    <w:abstractNumId w:val="9"/>
  </w:num>
  <w:num w:numId="5">
    <w:abstractNumId w:val="5"/>
  </w:num>
  <w:num w:numId="6">
    <w:abstractNumId w:val="7"/>
  </w:num>
  <w:num w:numId="7">
    <w:abstractNumId w:val="0"/>
  </w:num>
  <w:num w:numId="8">
    <w:abstractNumId w:val="19"/>
  </w:num>
  <w:num w:numId="9">
    <w:abstractNumId w:val="14"/>
  </w:num>
  <w:num w:numId="10">
    <w:abstractNumId w:val="8"/>
  </w:num>
  <w:num w:numId="11">
    <w:abstractNumId w:val="18"/>
  </w:num>
  <w:num w:numId="12">
    <w:abstractNumId w:val="10"/>
  </w:num>
  <w:num w:numId="13">
    <w:abstractNumId w:val="20"/>
  </w:num>
  <w:num w:numId="14">
    <w:abstractNumId w:val="1"/>
  </w:num>
  <w:num w:numId="15">
    <w:abstractNumId w:val="12"/>
  </w:num>
  <w:num w:numId="16">
    <w:abstractNumId w:val="13"/>
  </w:num>
  <w:num w:numId="17">
    <w:abstractNumId w:val="2"/>
  </w:num>
  <w:num w:numId="18">
    <w:abstractNumId w:val="6"/>
  </w:num>
  <w:num w:numId="19">
    <w:abstractNumId w:val="4"/>
  </w:num>
  <w:num w:numId="20">
    <w:abstractNumId w:val="3"/>
  </w:num>
  <w:num w:numId="21">
    <w:abstractNumId w:val="12"/>
  </w:num>
  <w:num w:numId="22">
    <w:abstractNumId w:val="18"/>
  </w:num>
  <w:num w:numId="2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D94"/>
    <w:rsid w:val="00001848"/>
    <w:rsid w:val="00001909"/>
    <w:rsid w:val="000022B3"/>
    <w:rsid w:val="000028DC"/>
    <w:rsid w:val="000034DA"/>
    <w:rsid w:val="00003D17"/>
    <w:rsid w:val="00003FCB"/>
    <w:rsid w:val="000045E1"/>
    <w:rsid w:val="000060A8"/>
    <w:rsid w:val="0000620C"/>
    <w:rsid w:val="00006E1A"/>
    <w:rsid w:val="000101AC"/>
    <w:rsid w:val="0001050C"/>
    <w:rsid w:val="00010758"/>
    <w:rsid w:val="00013214"/>
    <w:rsid w:val="0001502D"/>
    <w:rsid w:val="00015BA9"/>
    <w:rsid w:val="0001645D"/>
    <w:rsid w:val="0001654F"/>
    <w:rsid w:val="00016C3A"/>
    <w:rsid w:val="0001738A"/>
    <w:rsid w:val="00020927"/>
    <w:rsid w:val="00021DC6"/>
    <w:rsid w:val="00022073"/>
    <w:rsid w:val="00023329"/>
    <w:rsid w:val="000233C9"/>
    <w:rsid w:val="000240C4"/>
    <w:rsid w:val="000247D7"/>
    <w:rsid w:val="00024E9C"/>
    <w:rsid w:val="00026F52"/>
    <w:rsid w:val="00027681"/>
    <w:rsid w:val="0002797B"/>
    <w:rsid w:val="00027D28"/>
    <w:rsid w:val="000317A3"/>
    <w:rsid w:val="0003295C"/>
    <w:rsid w:val="00032F11"/>
    <w:rsid w:val="00033A16"/>
    <w:rsid w:val="00035183"/>
    <w:rsid w:val="000357DA"/>
    <w:rsid w:val="00036629"/>
    <w:rsid w:val="0003680B"/>
    <w:rsid w:val="00040131"/>
    <w:rsid w:val="00040802"/>
    <w:rsid w:val="00040FEF"/>
    <w:rsid w:val="00042A29"/>
    <w:rsid w:val="00042ABE"/>
    <w:rsid w:val="00042B6A"/>
    <w:rsid w:val="00043F03"/>
    <w:rsid w:val="00045024"/>
    <w:rsid w:val="00047A60"/>
    <w:rsid w:val="000503D7"/>
    <w:rsid w:val="00051731"/>
    <w:rsid w:val="00052347"/>
    <w:rsid w:val="000539C1"/>
    <w:rsid w:val="0005614E"/>
    <w:rsid w:val="00056912"/>
    <w:rsid w:val="00056987"/>
    <w:rsid w:val="00056C17"/>
    <w:rsid w:val="000570B8"/>
    <w:rsid w:val="0005717C"/>
    <w:rsid w:val="000579D0"/>
    <w:rsid w:val="00057D64"/>
    <w:rsid w:val="00060FE6"/>
    <w:rsid w:val="0006102B"/>
    <w:rsid w:val="00061294"/>
    <w:rsid w:val="000615DE"/>
    <w:rsid w:val="00061BC2"/>
    <w:rsid w:val="0006245C"/>
    <w:rsid w:val="00063D5B"/>
    <w:rsid w:val="000647C7"/>
    <w:rsid w:val="00064856"/>
    <w:rsid w:val="00067138"/>
    <w:rsid w:val="00067371"/>
    <w:rsid w:val="00071C75"/>
    <w:rsid w:val="000720B0"/>
    <w:rsid w:val="0007224F"/>
    <w:rsid w:val="00072AEC"/>
    <w:rsid w:val="00073CF0"/>
    <w:rsid w:val="0007412B"/>
    <w:rsid w:val="0007443C"/>
    <w:rsid w:val="000745F1"/>
    <w:rsid w:val="000747B2"/>
    <w:rsid w:val="00074F7F"/>
    <w:rsid w:val="00076714"/>
    <w:rsid w:val="00076BE9"/>
    <w:rsid w:val="00076D3B"/>
    <w:rsid w:val="0007796E"/>
    <w:rsid w:val="00080917"/>
    <w:rsid w:val="00081205"/>
    <w:rsid w:val="0008190D"/>
    <w:rsid w:val="00081E35"/>
    <w:rsid w:val="00081F99"/>
    <w:rsid w:val="0008252A"/>
    <w:rsid w:val="00082582"/>
    <w:rsid w:val="00082837"/>
    <w:rsid w:val="00082EF4"/>
    <w:rsid w:val="000830C3"/>
    <w:rsid w:val="000836CA"/>
    <w:rsid w:val="0008471D"/>
    <w:rsid w:val="000849FD"/>
    <w:rsid w:val="00086AF0"/>
    <w:rsid w:val="00087462"/>
    <w:rsid w:val="00087D1E"/>
    <w:rsid w:val="0009006E"/>
    <w:rsid w:val="000903E1"/>
    <w:rsid w:val="000911A6"/>
    <w:rsid w:val="0009137F"/>
    <w:rsid w:val="000920BC"/>
    <w:rsid w:val="00092843"/>
    <w:rsid w:val="000928D2"/>
    <w:rsid w:val="000931CC"/>
    <w:rsid w:val="000935D0"/>
    <w:rsid w:val="0009360C"/>
    <w:rsid w:val="00094110"/>
    <w:rsid w:val="00094594"/>
    <w:rsid w:val="000956C2"/>
    <w:rsid w:val="00095741"/>
    <w:rsid w:val="00095AAB"/>
    <w:rsid w:val="0009655E"/>
    <w:rsid w:val="0009678D"/>
    <w:rsid w:val="00096A12"/>
    <w:rsid w:val="000973EC"/>
    <w:rsid w:val="00097E4B"/>
    <w:rsid w:val="000A03E8"/>
    <w:rsid w:val="000A09B0"/>
    <w:rsid w:val="000A12E8"/>
    <w:rsid w:val="000A3521"/>
    <w:rsid w:val="000A3BD1"/>
    <w:rsid w:val="000A5046"/>
    <w:rsid w:val="000A5453"/>
    <w:rsid w:val="000A643D"/>
    <w:rsid w:val="000A6FD4"/>
    <w:rsid w:val="000B1EB4"/>
    <w:rsid w:val="000B206F"/>
    <w:rsid w:val="000B2194"/>
    <w:rsid w:val="000B223E"/>
    <w:rsid w:val="000B3EE1"/>
    <w:rsid w:val="000B4286"/>
    <w:rsid w:val="000B4D8A"/>
    <w:rsid w:val="000B4FAC"/>
    <w:rsid w:val="000B58D7"/>
    <w:rsid w:val="000B6B2F"/>
    <w:rsid w:val="000B73CE"/>
    <w:rsid w:val="000C07F7"/>
    <w:rsid w:val="000C1417"/>
    <w:rsid w:val="000C5784"/>
    <w:rsid w:val="000C605A"/>
    <w:rsid w:val="000C6B60"/>
    <w:rsid w:val="000C7963"/>
    <w:rsid w:val="000C7ABB"/>
    <w:rsid w:val="000D00EC"/>
    <w:rsid w:val="000D1EC8"/>
    <w:rsid w:val="000D21B5"/>
    <w:rsid w:val="000D2471"/>
    <w:rsid w:val="000D2681"/>
    <w:rsid w:val="000D26E7"/>
    <w:rsid w:val="000D29AB"/>
    <w:rsid w:val="000D2D52"/>
    <w:rsid w:val="000D2EC2"/>
    <w:rsid w:val="000D41A7"/>
    <w:rsid w:val="000D46B3"/>
    <w:rsid w:val="000D613B"/>
    <w:rsid w:val="000D67BB"/>
    <w:rsid w:val="000D6825"/>
    <w:rsid w:val="000D70AC"/>
    <w:rsid w:val="000D7AD3"/>
    <w:rsid w:val="000E0029"/>
    <w:rsid w:val="000E031A"/>
    <w:rsid w:val="000E13C6"/>
    <w:rsid w:val="000E1D98"/>
    <w:rsid w:val="000E36D0"/>
    <w:rsid w:val="000E39E9"/>
    <w:rsid w:val="000E41BD"/>
    <w:rsid w:val="000E4399"/>
    <w:rsid w:val="000E43A6"/>
    <w:rsid w:val="000E4697"/>
    <w:rsid w:val="000E4A94"/>
    <w:rsid w:val="000E4DE3"/>
    <w:rsid w:val="000E52B2"/>
    <w:rsid w:val="000E52C7"/>
    <w:rsid w:val="000E5436"/>
    <w:rsid w:val="000E6462"/>
    <w:rsid w:val="000E64A6"/>
    <w:rsid w:val="000E7049"/>
    <w:rsid w:val="000E7D73"/>
    <w:rsid w:val="000F0B48"/>
    <w:rsid w:val="000F1DF5"/>
    <w:rsid w:val="000F2E68"/>
    <w:rsid w:val="000F36DC"/>
    <w:rsid w:val="000F3E2C"/>
    <w:rsid w:val="000F524D"/>
    <w:rsid w:val="000F5951"/>
    <w:rsid w:val="000F63A6"/>
    <w:rsid w:val="000F6C04"/>
    <w:rsid w:val="000F6DB5"/>
    <w:rsid w:val="000F6EEF"/>
    <w:rsid w:val="001004FB"/>
    <w:rsid w:val="00101F2F"/>
    <w:rsid w:val="00102049"/>
    <w:rsid w:val="00102769"/>
    <w:rsid w:val="00104467"/>
    <w:rsid w:val="00105138"/>
    <w:rsid w:val="00105C0C"/>
    <w:rsid w:val="00107145"/>
    <w:rsid w:val="001077F1"/>
    <w:rsid w:val="001100D6"/>
    <w:rsid w:val="001112AC"/>
    <w:rsid w:val="00111325"/>
    <w:rsid w:val="001114C0"/>
    <w:rsid w:val="0011160A"/>
    <w:rsid w:val="00111C6F"/>
    <w:rsid w:val="00112914"/>
    <w:rsid w:val="00112FCA"/>
    <w:rsid w:val="00113D88"/>
    <w:rsid w:val="00114614"/>
    <w:rsid w:val="00115822"/>
    <w:rsid w:val="00115E24"/>
    <w:rsid w:val="0011772D"/>
    <w:rsid w:val="001177AA"/>
    <w:rsid w:val="00117E18"/>
    <w:rsid w:val="0012022D"/>
    <w:rsid w:val="00120BC8"/>
    <w:rsid w:val="00121A09"/>
    <w:rsid w:val="00122A90"/>
    <w:rsid w:val="00123132"/>
    <w:rsid w:val="001236F1"/>
    <w:rsid w:val="00123F6C"/>
    <w:rsid w:val="00124469"/>
    <w:rsid w:val="00124529"/>
    <w:rsid w:val="001248F8"/>
    <w:rsid w:val="001258EB"/>
    <w:rsid w:val="0012665C"/>
    <w:rsid w:val="00126854"/>
    <w:rsid w:val="00126B0C"/>
    <w:rsid w:val="001312D7"/>
    <w:rsid w:val="001317A9"/>
    <w:rsid w:val="00134538"/>
    <w:rsid w:val="001351C4"/>
    <w:rsid w:val="00136C7F"/>
    <w:rsid w:val="00136FA6"/>
    <w:rsid w:val="00137D1F"/>
    <w:rsid w:val="00140948"/>
    <w:rsid w:val="0014250E"/>
    <w:rsid w:val="001427A2"/>
    <w:rsid w:val="001428B4"/>
    <w:rsid w:val="00142D15"/>
    <w:rsid w:val="00142F0E"/>
    <w:rsid w:val="001432A0"/>
    <w:rsid w:val="001444E3"/>
    <w:rsid w:val="00146120"/>
    <w:rsid w:val="001462DE"/>
    <w:rsid w:val="00146543"/>
    <w:rsid w:val="001468CC"/>
    <w:rsid w:val="00147372"/>
    <w:rsid w:val="00147814"/>
    <w:rsid w:val="001508A2"/>
    <w:rsid w:val="001508EA"/>
    <w:rsid w:val="001511D7"/>
    <w:rsid w:val="00152ACB"/>
    <w:rsid w:val="00152C1A"/>
    <w:rsid w:val="001534AC"/>
    <w:rsid w:val="00155978"/>
    <w:rsid w:val="00155A0E"/>
    <w:rsid w:val="00155C38"/>
    <w:rsid w:val="0015636B"/>
    <w:rsid w:val="0015653C"/>
    <w:rsid w:val="00156E4A"/>
    <w:rsid w:val="00157C12"/>
    <w:rsid w:val="001608EE"/>
    <w:rsid w:val="00162058"/>
    <w:rsid w:val="0016212C"/>
    <w:rsid w:val="00162235"/>
    <w:rsid w:val="001633D8"/>
    <w:rsid w:val="00163964"/>
    <w:rsid w:val="0016656D"/>
    <w:rsid w:val="00166BA4"/>
    <w:rsid w:val="00167EB2"/>
    <w:rsid w:val="00170199"/>
    <w:rsid w:val="001712CB"/>
    <w:rsid w:val="0017160F"/>
    <w:rsid w:val="0017168E"/>
    <w:rsid w:val="0017286B"/>
    <w:rsid w:val="001731F4"/>
    <w:rsid w:val="00173317"/>
    <w:rsid w:val="00173451"/>
    <w:rsid w:val="00174CBC"/>
    <w:rsid w:val="001756C7"/>
    <w:rsid w:val="001756FD"/>
    <w:rsid w:val="00175721"/>
    <w:rsid w:val="00176230"/>
    <w:rsid w:val="00176CA2"/>
    <w:rsid w:val="00176F4A"/>
    <w:rsid w:val="00177028"/>
    <w:rsid w:val="00177257"/>
    <w:rsid w:val="00180267"/>
    <w:rsid w:val="00180952"/>
    <w:rsid w:val="0018136C"/>
    <w:rsid w:val="00181882"/>
    <w:rsid w:val="00182F87"/>
    <w:rsid w:val="001839D7"/>
    <w:rsid w:val="0018472C"/>
    <w:rsid w:val="00185C0B"/>
    <w:rsid w:val="00186695"/>
    <w:rsid w:val="00187101"/>
    <w:rsid w:val="00190106"/>
    <w:rsid w:val="00190831"/>
    <w:rsid w:val="00190ECE"/>
    <w:rsid w:val="00191BD5"/>
    <w:rsid w:val="00192186"/>
    <w:rsid w:val="001921C4"/>
    <w:rsid w:val="00192877"/>
    <w:rsid w:val="00192F21"/>
    <w:rsid w:val="00194CE6"/>
    <w:rsid w:val="001964BA"/>
    <w:rsid w:val="00196E7B"/>
    <w:rsid w:val="001A0AA9"/>
    <w:rsid w:val="001A1884"/>
    <w:rsid w:val="001A383F"/>
    <w:rsid w:val="001A3B78"/>
    <w:rsid w:val="001A40AA"/>
    <w:rsid w:val="001A4F19"/>
    <w:rsid w:val="001A5229"/>
    <w:rsid w:val="001A5962"/>
    <w:rsid w:val="001A6400"/>
    <w:rsid w:val="001A6612"/>
    <w:rsid w:val="001B07CB"/>
    <w:rsid w:val="001B08D2"/>
    <w:rsid w:val="001B1D9C"/>
    <w:rsid w:val="001B24C9"/>
    <w:rsid w:val="001B27B0"/>
    <w:rsid w:val="001B2983"/>
    <w:rsid w:val="001B2BFA"/>
    <w:rsid w:val="001B3978"/>
    <w:rsid w:val="001B3F3E"/>
    <w:rsid w:val="001B4EA7"/>
    <w:rsid w:val="001B5C31"/>
    <w:rsid w:val="001B6ADF"/>
    <w:rsid w:val="001B6E4E"/>
    <w:rsid w:val="001B7891"/>
    <w:rsid w:val="001B7B51"/>
    <w:rsid w:val="001C0A97"/>
    <w:rsid w:val="001C3627"/>
    <w:rsid w:val="001C3E9B"/>
    <w:rsid w:val="001C50AF"/>
    <w:rsid w:val="001C66A3"/>
    <w:rsid w:val="001C6CD3"/>
    <w:rsid w:val="001D039F"/>
    <w:rsid w:val="001D299E"/>
    <w:rsid w:val="001D445C"/>
    <w:rsid w:val="001D4D44"/>
    <w:rsid w:val="001D67E8"/>
    <w:rsid w:val="001D6C14"/>
    <w:rsid w:val="001D6D53"/>
    <w:rsid w:val="001D7977"/>
    <w:rsid w:val="001D79B6"/>
    <w:rsid w:val="001E0332"/>
    <w:rsid w:val="001E0356"/>
    <w:rsid w:val="001E0492"/>
    <w:rsid w:val="001E1D67"/>
    <w:rsid w:val="001E238B"/>
    <w:rsid w:val="001E2598"/>
    <w:rsid w:val="001E3808"/>
    <w:rsid w:val="001E4346"/>
    <w:rsid w:val="001E5228"/>
    <w:rsid w:val="001E582D"/>
    <w:rsid w:val="001E73DE"/>
    <w:rsid w:val="001F0957"/>
    <w:rsid w:val="001F1183"/>
    <w:rsid w:val="001F179D"/>
    <w:rsid w:val="001F281A"/>
    <w:rsid w:val="001F2EF7"/>
    <w:rsid w:val="001F2F43"/>
    <w:rsid w:val="001F3B3B"/>
    <w:rsid w:val="001F3DFF"/>
    <w:rsid w:val="001F3E20"/>
    <w:rsid w:val="001F43B1"/>
    <w:rsid w:val="001F4B4F"/>
    <w:rsid w:val="001F5DB1"/>
    <w:rsid w:val="001F65BF"/>
    <w:rsid w:val="002000B0"/>
    <w:rsid w:val="002002BD"/>
    <w:rsid w:val="002011D1"/>
    <w:rsid w:val="0020130D"/>
    <w:rsid w:val="00202B2C"/>
    <w:rsid w:val="00202D28"/>
    <w:rsid w:val="00203FFB"/>
    <w:rsid w:val="002045E1"/>
    <w:rsid w:val="0020488E"/>
    <w:rsid w:val="00204994"/>
    <w:rsid w:val="00204FBE"/>
    <w:rsid w:val="00205595"/>
    <w:rsid w:val="00205DE0"/>
    <w:rsid w:val="0020784D"/>
    <w:rsid w:val="00207C67"/>
    <w:rsid w:val="00210743"/>
    <w:rsid w:val="00211B54"/>
    <w:rsid w:val="002120C2"/>
    <w:rsid w:val="00213660"/>
    <w:rsid w:val="00213F2F"/>
    <w:rsid w:val="002144F5"/>
    <w:rsid w:val="00215AC3"/>
    <w:rsid w:val="00216F87"/>
    <w:rsid w:val="002175B3"/>
    <w:rsid w:val="00220354"/>
    <w:rsid w:val="0022087A"/>
    <w:rsid w:val="00220F57"/>
    <w:rsid w:val="00221DFF"/>
    <w:rsid w:val="00222DE1"/>
    <w:rsid w:val="00223B2D"/>
    <w:rsid w:val="002257C3"/>
    <w:rsid w:val="00225D9D"/>
    <w:rsid w:val="00227CC6"/>
    <w:rsid w:val="00230179"/>
    <w:rsid w:val="0023091B"/>
    <w:rsid w:val="00230C39"/>
    <w:rsid w:val="00231964"/>
    <w:rsid w:val="002324A6"/>
    <w:rsid w:val="002335BC"/>
    <w:rsid w:val="002344A5"/>
    <w:rsid w:val="002344D8"/>
    <w:rsid w:val="002344DA"/>
    <w:rsid w:val="00235639"/>
    <w:rsid w:val="00235814"/>
    <w:rsid w:val="00237513"/>
    <w:rsid w:val="002411D3"/>
    <w:rsid w:val="00241FBB"/>
    <w:rsid w:val="002438B2"/>
    <w:rsid w:val="00243C6B"/>
    <w:rsid w:val="00244013"/>
    <w:rsid w:val="00244280"/>
    <w:rsid w:val="00244857"/>
    <w:rsid w:val="00245713"/>
    <w:rsid w:val="00246431"/>
    <w:rsid w:val="00246942"/>
    <w:rsid w:val="0024699F"/>
    <w:rsid w:val="002473CA"/>
    <w:rsid w:val="002476FA"/>
    <w:rsid w:val="00247AB9"/>
    <w:rsid w:val="00250EE8"/>
    <w:rsid w:val="002511A7"/>
    <w:rsid w:val="00251FCC"/>
    <w:rsid w:val="002525D5"/>
    <w:rsid w:val="00252820"/>
    <w:rsid w:val="00252DDA"/>
    <w:rsid w:val="002539BD"/>
    <w:rsid w:val="00253D08"/>
    <w:rsid w:val="0025507A"/>
    <w:rsid w:val="00256421"/>
    <w:rsid w:val="00256839"/>
    <w:rsid w:val="002570B5"/>
    <w:rsid w:val="002570E6"/>
    <w:rsid w:val="00257EA1"/>
    <w:rsid w:val="00260044"/>
    <w:rsid w:val="002615F6"/>
    <w:rsid w:val="0026500B"/>
    <w:rsid w:val="00265104"/>
    <w:rsid w:val="00265549"/>
    <w:rsid w:val="00265F67"/>
    <w:rsid w:val="002661CB"/>
    <w:rsid w:val="0026628A"/>
    <w:rsid w:val="0026669B"/>
    <w:rsid w:val="00266F31"/>
    <w:rsid w:val="002671E5"/>
    <w:rsid w:val="002673C8"/>
    <w:rsid w:val="00267791"/>
    <w:rsid w:val="00272982"/>
    <w:rsid w:val="00272CEC"/>
    <w:rsid w:val="00272F0F"/>
    <w:rsid w:val="00273078"/>
    <w:rsid w:val="002734E3"/>
    <w:rsid w:val="00273674"/>
    <w:rsid w:val="00273845"/>
    <w:rsid w:val="002749C7"/>
    <w:rsid w:val="0027538D"/>
    <w:rsid w:val="00275467"/>
    <w:rsid w:val="00275BD6"/>
    <w:rsid w:val="00275E68"/>
    <w:rsid w:val="002767CB"/>
    <w:rsid w:val="00276B31"/>
    <w:rsid w:val="00277528"/>
    <w:rsid w:val="0028032D"/>
    <w:rsid w:val="00280720"/>
    <w:rsid w:val="00281F20"/>
    <w:rsid w:val="0028281E"/>
    <w:rsid w:val="00283302"/>
    <w:rsid w:val="00283361"/>
    <w:rsid w:val="00283AA5"/>
    <w:rsid w:val="00283BE6"/>
    <w:rsid w:val="002842FE"/>
    <w:rsid w:val="00284676"/>
    <w:rsid w:val="00286092"/>
    <w:rsid w:val="00286D31"/>
    <w:rsid w:val="00287E3C"/>
    <w:rsid w:val="0029010C"/>
    <w:rsid w:val="00290247"/>
    <w:rsid w:val="002905EC"/>
    <w:rsid w:val="00291F16"/>
    <w:rsid w:val="002934BA"/>
    <w:rsid w:val="002937B4"/>
    <w:rsid w:val="0029476D"/>
    <w:rsid w:val="002947D9"/>
    <w:rsid w:val="002955B9"/>
    <w:rsid w:val="0029620C"/>
    <w:rsid w:val="00297175"/>
    <w:rsid w:val="0029733F"/>
    <w:rsid w:val="00297F8B"/>
    <w:rsid w:val="002A0272"/>
    <w:rsid w:val="002A0E2D"/>
    <w:rsid w:val="002A1824"/>
    <w:rsid w:val="002A1A53"/>
    <w:rsid w:val="002A200D"/>
    <w:rsid w:val="002A20B5"/>
    <w:rsid w:val="002A2A7E"/>
    <w:rsid w:val="002A400E"/>
    <w:rsid w:val="002A42DD"/>
    <w:rsid w:val="002A5CDC"/>
    <w:rsid w:val="002A7144"/>
    <w:rsid w:val="002B188A"/>
    <w:rsid w:val="002B1AA8"/>
    <w:rsid w:val="002B20DF"/>
    <w:rsid w:val="002B2E64"/>
    <w:rsid w:val="002B371F"/>
    <w:rsid w:val="002B43F8"/>
    <w:rsid w:val="002B453D"/>
    <w:rsid w:val="002B46FC"/>
    <w:rsid w:val="002B475C"/>
    <w:rsid w:val="002B4784"/>
    <w:rsid w:val="002B52ED"/>
    <w:rsid w:val="002B6259"/>
    <w:rsid w:val="002B66CE"/>
    <w:rsid w:val="002B6890"/>
    <w:rsid w:val="002B7D5B"/>
    <w:rsid w:val="002C08F5"/>
    <w:rsid w:val="002C10A4"/>
    <w:rsid w:val="002C192C"/>
    <w:rsid w:val="002C1AB7"/>
    <w:rsid w:val="002C41AD"/>
    <w:rsid w:val="002C4313"/>
    <w:rsid w:val="002C5A0C"/>
    <w:rsid w:val="002C6531"/>
    <w:rsid w:val="002D0E28"/>
    <w:rsid w:val="002D28DD"/>
    <w:rsid w:val="002D41CE"/>
    <w:rsid w:val="002D4642"/>
    <w:rsid w:val="002D4979"/>
    <w:rsid w:val="002D4CA4"/>
    <w:rsid w:val="002D6084"/>
    <w:rsid w:val="002D6B5C"/>
    <w:rsid w:val="002D713D"/>
    <w:rsid w:val="002D7BB5"/>
    <w:rsid w:val="002E02F7"/>
    <w:rsid w:val="002E0B2F"/>
    <w:rsid w:val="002E128D"/>
    <w:rsid w:val="002E1392"/>
    <w:rsid w:val="002E1EAE"/>
    <w:rsid w:val="002E3BD1"/>
    <w:rsid w:val="002E3E3C"/>
    <w:rsid w:val="002E40DA"/>
    <w:rsid w:val="002E4A5B"/>
    <w:rsid w:val="002E5694"/>
    <w:rsid w:val="002E6384"/>
    <w:rsid w:val="002E6622"/>
    <w:rsid w:val="002E6BA1"/>
    <w:rsid w:val="002E7217"/>
    <w:rsid w:val="002E759E"/>
    <w:rsid w:val="002F0612"/>
    <w:rsid w:val="002F0C8A"/>
    <w:rsid w:val="002F1888"/>
    <w:rsid w:val="002F1E77"/>
    <w:rsid w:val="002F2277"/>
    <w:rsid w:val="002F235D"/>
    <w:rsid w:val="002F25FE"/>
    <w:rsid w:val="002F270E"/>
    <w:rsid w:val="002F3E16"/>
    <w:rsid w:val="002F3F45"/>
    <w:rsid w:val="002F4547"/>
    <w:rsid w:val="002F5915"/>
    <w:rsid w:val="002F6F37"/>
    <w:rsid w:val="002F7ADF"/>
    <w:rsid w:val="00300994"/>
    <w:rsid w:val="00303097"/>
    <w:rsid w:val="00303EE9"/>
    <w:rsid w:val="00303F05"/>
    <w:rsid w:val="003042CD"/>
    <w:rsid w:val="0030541D"/>
    <w:rsid w:val="003069B2"/>
    <w:rsid w:val="00307179"/>
    <w:rsid w:val="003076B9"/>
    <w:rsid w:val="003078C3"/>
    <w:rsid w:val="00307ACB"/>
    <w:rsid w:val="00307CF4"/>
    <w:rsid w:val="0031197F"/>
    <w:rsid w:val="00311C51"/>
    <w:rsid w:val="00312A66"/>
    <w:rsid w:val="00313532"/>
    <w:rsid w:val="003141F6"/>
    <w:rsid w:val="0031563C"/>
    <w:rsid w:val="00315FF9"/>
    <w:rsid w:val="00316139"/>
    <w:rsid w:val="00316535"/>
    <w:rsid w:val="00323224"/>
    <w:rsid w:val="00323835"/>
    <w:rsid w:val="00326792"/>
    <w:rsid w:val="00326AAD"/>
    <w:rsid w:val="00327505"/>
    <w:rsid w:val="003278B7"/>
    <w:rsid w:val="00327A54"/>
    <w:rsid w:val="00327B61"/>
    <w:rsid w:val="0033003C"/>
    <w:rsid w:val="003302A3"/>
    <w:rsid w:val="003308A5"/>
    <w:rsid w:val="00330AAF"/>
    <w:rsid w:val="00330C72"/>
    <w:rsid w:val="0033168F"/>
    <w:rsid w:val="00331733"/>
    <w:rsid w:val="00331FEF"/>
    <w:rsid w:val="00332043"/>
    <w:rsid w:val="0033269C"/>
    <w:rsid w:val="003331A0"/>
    <w:rsid w:val="00333267"/>
    <w:rsid w:val="00333949"/>
    <w:rsid w:val="00334366"/>
    <w:rsid w:val="00334E65"/>
    <w:rsid w:val="00335033"/>
    <w:rsid w:val="00335B18"/>
    <w:rsid w:val="00337335"/>
    <w:rsid w:val="003402CD"/>
    <w:rsid w:val="00340665"/>
    <w:rsid w:val="0034070D"/>
    <w:rsid w:val="0034091C"/>
    <w:rsid w:val="00340B4A"/>
    <w:rsid w:val="00340CEA"/>
    <w:rsid w:val="0034109D"/>
    <w:rsid w:val="00342C48"/>
    <w:rsid w:val="00345469"/>
    <w:rsid w:val="00345B0E"/>
    <w:rsid w:val="00345D9D"/>
    <w:rsid w:val="00346015"/>
    <w:rsid w:val="00346626"/>
    <w:rsid w:val="003470CE"/>
    <w:rsid w:val="00347D10"/>
    <w:rsid w:val="00350D69"/>
    <w:rsid w:val="003510E4"/>
    <w:rsid w:val="00351B7D"/>
    <w:rsid w:val="00352A45"/>
    <w:rsid w:val="00352DF5"/>
    <w:rsid w:val="00354217"/>
    <w:rsid w:val="00357DC7"/>
    <w:rsid w:val="00357EF3"/>
    <w:rsid w:val="0036063E"/>
    <w:rsid w:val="00360C8A"/>
    <w:rsid w:val="00361BAC"/>
    <w:rsid w:val="00362236"/>
    <w:rsid w:val="003627DC"/>
    <w:rsid w:val="00362899"/>
    <w:rsid w:val="00362C48"/>
    <w:rsid w:val="00362F33"/>
    <w:rsid w:val="00363C1F"/>
    <w:rsid w:val="00363CC3"/>
    <w:rsid w:val="00364A9C"/>
    <w:rsid w:val="0036546E"/>
    <w:rsid w:val="003656E2"/>
    <w:rsid w:val="00367429"/>
    <w:rsid w:val="00367A23"/>
    <w:rsid w:val="00371759"/>
    <w:rsid w:val="003717F3"/>
    <w:rsid w:val="00373AE7"/>
    <w:rsid w:val="003741D5"/>
    <w:rsid w:val="003761BA"/>
    <w:rsid w:val="0037638F"/>
    <w:rsid w:val="0037723B"/>
    <w:rsid w:val="00377799"/>
    <w:rsid w:val="003807C5"/>
    <w:rsid w:val="00382972"/>
    <w:rsid w:val="00382ABE"/>
    <w:rsid w:val="00383CDB"/>
    <w:rsid w:val="00384E42"/>
    <w:rsid w:val="0038672B"/>
    <w:rsid w:val="00386FD7"/>
    <w:rsid w:val="0039001E"/>
    <w:rsid w:val="00390398"/>
    <w:rsid w:val="0039040D"/>
    <w:rsid w:val="003908D8"/>
    <w:rsid w:val="003908E4"/>
    <w:rsid w:val="0039159D"/>
    <w:rsid w:val="00391D87"/>
    <w:rsid w:val="00391F53"/>
    <w:rsid w:val="00392D47"/>
    <w:rsid w:val="00393A12"/>
    <w:rsid w:val="00393AEE"/>
    <w:rsid w:val="003948D4"/>
    <w:rsid w:val="00394A75"/>
    <w:rsid w:val="00394F29"/>
    <w:rsid w:val="0039511F"/>
    <w:rsid w:val="003968AC"/>
    <w:rsid w:val="00396E36"/>
    <w:rsid w:val="003A08DE"/>
    <w:rsid w:val="003A0DAC"/>
    <w:rsid w:val="003A1842"/>
    <w:rsid w:val="003A20F8"/>
    <w:rsid w:val="003A2DCF"/>
    <w:rsid w:val="003A2E82"/>
    <w:rsid w:val="003A2F46"/>
    <w:rsid w:val="003A3CB2"/>
    <w:rsid w:val="003A502B"/>
    <w:rsid w:val="003A56FA"/>
    <w:rsid w:val="003A79E2"/>
    <w:rsid w:val="003B0F09"/>
    <w:rsid w:val="003B17F7"/>
    <w:rsid w:val="003B1BEB"/>
    <w:rsid w:val="003B22E0"/>
    <w:rsid w:val="003B276E"/>
    <w:rsid w:val="003B29CB"/>
    <w:rsid w:val="003B367C"/>
    <w:rsid w:val="003B37A2"/>
    <w:rsid w:val="003B5B32"/>
    <w:rsid w:val="003B5ECD"/>
    <w:rsid w:val="003B6B70"/>
    <w:rsid w:val="003B78ED"/>
    <w:rsid w:val="003C02E1"/>
    <w:rsid w:val="003C03B6"/>
    <w:rsid w:val="003C17A5"/>
    <w:rsid w:val="003C4228"/>
    <w:rsid w:val="003C4E4A"/>
    <w:rsid w:val="003C5273"/>
    <w:rsid w:val="003C52C1"/>
    <w:rsid w:val="003C65D0"/>
    <w:rsid w:val="003C7C8B"/>
    <w:rsid w:val="003D007F"/>
    <w:rsid w:val="003D026B"/>
    <w:rsid w:val="003D0B50"/>
    <w:rsid w:val="003D0C4D"/>
    <w:rsid w:val="003D141C"/>
    <w:rsid w:val="003D2320"/>
    <w:rsid w:val="003D38E5"/>
    <w:rsid w:val="003D3D6F"/>
    <w:rsid w:val="003D408F"/>
    <w:rsid w:val="003D4821"/>
    <w:rsid w:val="003D4D5B"/>
    <w:rsid w:val="003D53C6"/>
    <w:rsid w:val="003D5422"/>
    <w:rsid w:val="003D5B6A"/>
    <w:rsid w:val="003D5CA6"/>
    <w:rsid w:val="003D6045"/>
    <w:rsid w:val="003D752B"/>
    <w:rsid w:val="003E122D"/>
    <w:rsid w:val="003E1DEB"/>
    <w:rsid w:val="003E1DFC"/>
    <w:rsid w:val="003E1EE8"/>
    <w:rsid w:val="003E24FD"/>
    <w:rsid w:val="003E29E9"/>
    <w:rsid w:val="003E34A7"/>
    <w:rsid w:val="003E503D"/>
    <w:rsid w:val="003E5175"/>
    <w:rsid w:val="003E56BC"/>
    <w:rsid w:val="003E6C54"/>
    <w:rsid w:val="003E78F7"/>
    <w:rsid w:val="003F03EA"/>
    <w:rsid w:val="003F053F"/>
    <w:rsid w:val="003F29B1"/>
    <w:rsid w:val="003F5164"/>
    <w:rsid w:val="003F5710"/>
    <w:rsid w:val="003F76A4"/>
    <w:rsid w:val="00400111"/>
    <w:rsid w:val="0040077D"/>
    <w:rsid w:val="00400DE5"/>
    <w:rsid w:val="00403140"/>
    <w:rsid w:val="00403D1A"/>
    <w:rsid w:val="00404B43"/>
    <w:rsid w:val="00405B12"/>
    <w:rsid w:val="00407310"/>
    <w:rsid w:val="00407F78"/>
    <w:rsid w:val="004132E0"/>
    <w:rsid w:val="00413EF7"/>
    <w:rsid w:val="00414C32"/>
    <w:rsid w:val="00414D1F"/>
    <w:rsid w:val="00416776"/>
    <w:rsid w:val="00417286"/>
    <w:rsid w:val="00417C0A"/>
    <w:rsid w:val="004201D4"/>
    <w:rsid w:val="004203F2"/>
    <w:rsid w:val="00420408"/>
    <w:rsid w:val="0042074E"/>
    <w:rsid w:val="004208B9"/>
    <w:rsid w:val="00422565"/>
    <w:rsid w:val="0042272A"/>
    <w:rsid w:val="00423D06"/>
    <w:rsid w:val="00424275"/>
    <w:rsid w:val="00425F7A"/>
    <w:rsid w:val="004262F6"/>
    <w:rsid w:val="00427423"/>
    <w:rsid w:val="00432661"/>
    <w:rsid w:val="0043460D"/>
    <w:rsid w:val="00434713"/>
    <w:rsid w:val="004363D9"/>
    <w:rsid w:val="00436E3C"/>
    <w:rsid w:val="0043709D"/>
    <w:rsid w:val="00437601"/>
    <w:rsid w:val="00440652"/>
    <w:rsid w:val="00440895"/>
    <w:rsid w:val="00441045"/>
    <w:rsid w:val="004417C2"/>
    <w:rsid w:val="004421AA"/>
    <w:rsid w:val="00442BFD"/>
    <w:rsid w:val="00443036"/>
    <w:rsid w:val="00445132"/>
    <w:rsid w:val="0044521A"/>
    <w:rsid w:val="00445B60"/>
    <w:rsid w:val="00446202"/>
    <w:rsid w:val="00446D65"/>
    <w:rsid w:val="00447F40"/>
    <w:rsid w:val="004514CF"/>
    <w:rsid w:val="004521AE"/>
    <w:rsid w:val="00452358"/>
    <w:rsid w:val="00453E5E"/>
    <w:rsid w:val="004541ED"/>
    <w:rsid w:val="00455D98"/>
    <w:rsid w:val="00460342"/>
    <w:rsid w:val="00461D3F"/>
    <w:rsid w:val="0046225A"/>
    <w:rsid w:val="004627D6"/>
    <w:rsid w:val="00462A34"/>
    <w:rsid w:val="00462E80"/>
    <w:rsid w:val="004635A2"/>
    <w:rsid w:val="0046399D"/>
    <w:rsid w:val="00464012"/>
    <w:rsid w:val="0046457F"/>
    <w:rsid w:val="00464626"/>
    <w:rsid w:val="00465B8E"/>
    <w:rsid w:val="00466947"/>
    <w:rsid w:val="004675F7"/>
    <w:rsid w:val="00467EBE"/>
    <w:rsid w:val="00470111"/>
    <w:rsid w:val="004704D2"/>
    <w:rsid w:val="00471A2E"/>
    <w:rsid w:val="00471CEC"/>
    <w:rsid w:val="00471E5F"/>
    <w:rsid w:val="0047257C"/>
    <w:rsid w:val="00472A87"/>
    <w:rsid w:val="00473A7A"/>
    <w:rsid w:val="00473E7B"/>
    <w:rsid w:val="00474231"/>
    <w:rsid w:val="004759C1"/>
    <w:rsid w:val="004760D2"/>
    <w:rsid w:val="0047685E"/>
    <w:rsid w:val="00476D68"/>
    <w:rsid w:val="004773C5"/>
    <w:rsid w:val="00477563"/>
    <w:rsid w:val="00477C7D"/>
    <w:rsid w:val="004809FC"/>
    <w:rsid w:val="004822BE"/>
    <w:rsid w:val="00482732"/>
    <w:rsid w:val="00482F81"/>
    <w:rsid w:val="004837F7"/>
    <w:rsid w:val="00483AD4"/>
    <w:rsid w:val="004848D4"/>
    <w:rsid w:val="004857EB"/>
    <w:rsid w:val="00485A62"/>
    <w:rsid w:val="00490467"/>
    <w:rsid w:val="004904B3"/>
    <w:rsid w:val="00490B5E"/>
    <w:rsid w:val="004917B3"/>
    <w:rsid w:val="00491EE1"/>
    <w:rsid w:val="004921A5"/>
    <w:rsid w:val="00492E69"/>
    <w:rsid w:val="004950D8"/>
    <w:rsid w:val="00496336"/>
    <w:rsid w:val="00497494"/>
    <w:rsid w:val="00497F61"/>
    <w:rsid w:val="004A2C40"/>
    <w:rsid w:val="004A36D3"/>
    <w:rsid w:val="004A54FB"/>
    <w:rsid w:val="004A5A8A"/>
    <w:rsid w:val="004A6037"/>
    <w:rsid w:val="004A7BA7"/>
    <w:rsid w:val="004B0455"/>
    <w:rsid w:val="004B093C"/>
    <w:rsid w:val="004B0A9E"/>
    <w:rsid w:val="004B0B85"/>
    <w:rsid w:val="004B0CBB"/>
    <w:rsid w:val="004B0D6A"/>
    <w:rsid w:val="004B19E7"/>
    <w:rsid w:val="004B2C27"/>
    <w:rsid w:val="004B320B"/>
    <w:rsid w:val="004B4DC9"/>
    <w:rsid w:val="004B5961"/>
    <w:rsid w:val="004B5D44"/>
    <w:rsid w:val="004C056D"/>
    <w:rsid w:val="004C0DBD"/>
    <w:rsid w:val="004C2821"/>
    <w:rsid w:val="004C2B8C"/>
    <w:rsid w:val="004C31D1"/>
    <w:rsid w:val="004C380F"/>
    <w:rsid w:val="004C4878"/>
    <w:rsid w:val="004C5885"/>
    <w:rsid w:val="004C6580"/>
    <w:rsid w:val="004C7075"/>
    <w:rsid w:val="004D0D65"/>
    <w:rsid w:val="004D108D"/>
    <w:rsid w:val="004D15C8"/>
    <w:rsid w:val="004D17C9"/>
    <w:rsid w:val="004D1CF8"/>
    <w:rsid w:val="004D2717"/>
    <w:rsid w:val="004D28B1"/>
    <w:rsid w:val="004D3EC7"/>
    <w:rsid w:val="004D44D1"/>
    <w:rsid w:val="004D4A0A"/>
    <w:rsid w:val="004D56B0"/>
    <w:rsid w:val="004D5CB6"/>
    <w:rsid w:val="004D5FE5"/>
    <w:rsid w:val="004D750B"/>
    <w:rsid w:val="004E1495"/>
    <w:rsid w:val="004E18D5"/>
    <w:rsid w:val="004E1B0E"/>
    <w:rsid w:val="004E296D"/>
    <w:rsid w:val="004E326E"/>
    <w:rsid w:val="004E3F1C"/>
    <w:rsid w:val="004E4B7C"/>
    <w:rsid w:val="004E5043"/>
    <w:rsid w:val="004E5569"/>
    <w:rsid w:val="004E66F2"/>
    <w:rsid w:val="004E6F27"/>
    <w:rsid w:val="004E781C"/>
    <w:rsid w:val="004F0B4F"/>
    <w:rsid w:val="004F10E5"/>
    <w:rsid w:val="004F2691"/>
    <w:rsid w:val="004F2BA9"/>
    <w:rsid w:val="004F3A21"/>
    <w:rsid w:val="004F3DAC"/>
    <w:rsid w:val="004F427A"/>
    <w:rsid w:val="004F485A"/>
    <w:rsid w:val="004F4DE6"/>
    <w:rsid w:val="004F5BEE"/>
    <w:rsid w:val="004F66F7"/>
    <w:rsid w:val="004F6EAB"/>
    <w:rsid w:val="00500429"/>
    <w:rsid w:val="005013E5"/>
    <w:rsid w:val="0050227E"/>
    <w:rsid w:val="0050289F"/>
    <w:rsid w:val="005047D6"/>
    <w:rsid w:val="00505673"/>
    <w:rsid w:val="00507A2B"/>
    <w:rsid w:val="00510A63"/>
    <w:rsid w:val="00510DBD"/>
    <w:rsid w:val="0051115C"/>
    <w:rsid w:val="00512DB0"/>
    <w:rsid w:val="0051346D"/>
    <w:rsid w:val="00513D03"/>
    <w:rsid w:val="0051411E"/>
    <w:rsid w:val="00514F07"/>
    <w:rsid w:val="0051586F"/>
    <w:rsid w:val="00515C84"/>
    <w:rsid w:val="00516F27"/>
    <w:rsid w:val="00520375"/>
    <w:rsid w:val="00521FB2"/>
    <w:rsid w:val="00522502"/>
    <w:rsid w:val="00522EF7"/>
    <w:rsid w:val="0052359F"/>
    <w:rsid w:val="00524786"/>
    <w:rsid w:val="005264EC"/>
    <w:rsid w:val="005267B2"/>
    <w:rsid w:val="0052722A"/>
    <w:rsid w:val="0052749A"/>
    <w:rsid w:val="005276AD"/>
    <w:rsid w:val="005303F9"/>
    <w:rsid w:val="005306B5"/>
    <w:rsid w:val="00531AB8"/>
    <w:rsid w:val="005353B8"/>
    <w:rsid w:val="00535E2D"/>
    <w:rsid w:val="00536F94"/>
    <w:rsid w:val="00537268"/>
    <w:rsid w:val="00540316"/>
    <w:rsid w:val="0054049D"/>
    <w:rsid w:val="0054290B"/>
    <w:rsid w:val="005432CB"/>
    <w:rsid w:val="00543AAA"/>
    <w:rsid w:val="00544163"/>
    <w:rsid w:val="00544BFE"/>
    <w:rsid w:val="00544DB2"/>
    <w:rsid w:val="00545BE9"/>
    <w:rsid w:val="00546BE0"/>
    <w:rsid w:val="00546F20"/>
    <w:rsid w:val="005479DA"/>
    <w:rsid w:val="00547C43"/>
    <w:rsid w:val="00550039"/>
    <w:rsid w:val="00550ABA"/>
    <w:rsid w:val="005514F8"/>
    <w:rsid w:val="00552562"/>
    <w:rsid w:val="00553845"/>
    <w:rsid w:val="00554201"/>
    <w:rsid w:val="00554DDC"/>
    <w:rsid w:val="00555322"/>
    <w:rsid w:val="00555CCC"/>
    <w:rsid w:val="00556217"/>
    <w:rsid w:val="0055654B"/>
    <w:rsid w:val="00556828"/>
    <w:rsid w:val="0055689E"/>
    <w:rsid w:val="0055730A"/>
    <w:rsid w:val="0055764B"/>
    <w:rsid w:val="00557D70"/>
    <w:rsid w:val="0056015A"/>
    <w:rsid w:val="00560462"/>
    <w:rsid w:val="00560BF4"/>
    <w:rsid w:val="00560CC3"/>
    <w:rsid w:val="00561C93"/>
    <w:rsid w:val="00562B66"/>
    <w:rsid w:val="00563452"/>
    <w:rsid w:val="005647C3"/>
    <w:rsid w:val="005656C0"/>
    <w:rsid w:val="0056684E"/>
    <w:rsid w:val="005673F9"/>
    <w:rsid w:val="00567520"/>
    <w:rsid w:val="00567E8D"/>
    <w:rsid w:val="00567EF9"/>
    <w:rsid w:val="005704EE"/>
    <w:rsid w:val="00570593"/>
    <w:rsid w:val="005715FB"/>
    <w:rsid w:val="00571746"/>
    <w:rsid w:val="0057351B"/>
    <w:rsid w:val="00573828"/>
    <w:rsid w:val="00574DF3"/>
    <w:rsid w:val="00576838"/>
    <w:rsid w:val="005775CA"/>
    <w:rsid w:val="00580330"/>
    <w:rsid w:val="0058036D"/>
    <w:rsid w:val="0058062B"/>
    <w:rsid w:val="00580814"/>
    <w:rsid w:val="00581465"/>
    <w:rsid w:val="005818B2"/>
    <w:rsid w:val="00581CE8"/>
    <w:rsid w:val="0058295D"/>
    <w:rsid w:val="005834D5"/>
    <w:rsid w:val="00583733"/>
    <w:rsid w:val="00583CC9"/>
    <w:rsid w:val="00584EAB"/>
    <w:rsid w:val="0058587E"/>
    <w:rsid w:val="00586452"/>
    <w:rsid w:val="00587D3C"/>
    <w:rsid w:val="00590516"/>
    <w:rsid w:val="005913BC"/>
    <w:rsid w:val="00592A9A"/>
    <w:rsid w:val="00594C90"/>
    <w:rsid w:val="005950EE"/>
    <w:rsid w:val="0059561D"/>
    <w:rsid w:val="00595C18"/>
    <w:rsid w:val="00595D7A"/>
    <w:rsid w:val="0059681A"/>
    <w:rsid w:val="0059691C"/>
    <w:rsid w:val="00597177"/>
    <w:rsid w:val="005A18EA"/>
    <w:rsid w:val="005A264B"/>
    <w:rsid w:val="005A2F7A"/>
    <w:rsid w:val="005A36C1"/>
    <w:rsid w:val="005A3C26"/>
    <w:rsid w:val="005A3DC4"/>
    <w:rsid w:val="005A4324"/>
    <w:rsid w:val="005A67B6"/>
    <w:rsid w:val="005A6C5C"/>
    <w:rsid w:val="005B1464"/>
    <w:rsid w:val="005B1FFB"/>
    <w:rsid w:val="005B217F"/>
    <w:rsid w:val="005B2868"/>
    <w:rsid w:val="005B2A86"/>
    <w:rsid w:val="005B3240"/>
    <w:rsid w:val="005B52E4"/>
    <w:rsid w:val="005B5ADA"/>
    <w:rsid w:val="005B62E8"/>
    <w:rsid w:val="005B758C"/>
    <w:rsid w:val="005B7938"/>
    <w:rsid w:val="005C1D7E"/>
    <w:rsid w:val="005C260C"/>
    <w:rsid w:val="005C2C00"/>
    <w:rsid w:val="005C3246"/>
    <w:rsid w:val="005C3E52"/>
    <w:rsid w:val="005C3E89"/>
    <w:rsid w:val="005C3F61"/>
    <w:rsid w:val="005C4BE4"/>
    <w:rsid w:val="005C56E1"/>
    <w:rsid w:val="005C5882"/>
    <w:rsid w:val="005C6BEC"/>
    <w:rsid w:val="005C79AE"/>
    <w:rsid w:val="005C7D8E"/>
    <w:rsid w:val="005D18F6"/>
    <w:rsid w:val="005D259F"/>
    <w:rsid w:val="005D37FC"/>
    <w:rsid w:val="005D433C"/>
    <w:rsid w:val="005D4B37"/>
    <w:rsid w:val="005D512A"/>
    <w:rsid w:val="005D5A6C"/>
    <w:rsid w:val="005D65B1"/>
    <w:rsid w:val="005D6861"/>
    <w:rsid w:val="005D69EB"/>
    <w:rsid w:val="005E0A1A"/>
    <w:rsid w:val="005E118D"/>
    <w:rsid w:val="005E2130"/>
    <w:rsid w:val="005E363C"/>
    <w:rsid w:val="005E3A60"/>
    <w:rsid w:val="005E3CEB"/>
    <w:rsid w:val="005E4160"/>
    <w:rsid w:val="005E7182"/>
    <w:rsid w:val="005E7330"/>
    <w:rsid w:val="005E75B6"/>
    <w:rsid w:val="005F03DE"/>
    <w:rsid w:val="005F119E"/>
    <w:rsid w:val="005F2B2D"/>
    <w:rsid w:val="005F2FA9"/>
    <w:rsid w:val="005F3249"/>
    <w:rsid w:val="005F3571"/>
    <w:rsid w:val="005F4D3D"/>
    <w:rsid w:val="005F4E5E"/>
    <w:rsid w:val="005F5D0E"/>
    <w:rsid w:val="005F5F31"/>
    <w:rsid w:val="005F655B"/>
    <w:rsid w:val="005F6AA1"/>
    <w:rsid w:val="005F6D35"/>
    <w:rsid w:val="005F6FA5"/>
    <w:rsid w:val="005F7566"/>
    <w:rsid w:val="005F7ABE"/>
    <w:rsid w:val="006005BC"/>
    <w:rsid w:val="00600E0F"/>
    <w:rsid w:val="006015F4"/>
    <w:rsid w:val="0060174E"/>
    <w:rsid w:val="00601A01"/>
    <w:rsid w:val="00602BD0"/>
    <w:rsid w:val="0060366A"/>
    <w:rsid w:val="006040A8"/>
    <w:rsid w:val="00604270"/>
    <w:rsid w:val="00604AD7"/>
    <w:rsid w:val="00605F84"/>
    <w:rsid w:val="0060780E"/>
    <w:rsid w:val="00607BEE"/>
    <w:rsid w:val="00610F34"/>
    <w:rsid w:val="006113B2"/>
    <w:rsid w:val="0061165B"/>
    <w:rsid w:val="0061166E"/>
    <w:rsid w:val="00614B89"/>
    <w:rsid w:val="00614CB7"/>
    <w:rsid w:val="0061542D"/>
    <w:rsid w:val="00615581"/>
    <w:rsid w:val="00615997"/>
    <w:rsid w:val="006169AD"/>
    <w:rsid w:val="00616F09"/>
    <w:rsid w:val="00617768"/>
    <w:rsid w:val="006202B5"/>
    <w:rsid w:val="00621CEE"/>
    <w:rsid w:val="00623143"/>
    <w:rsid w:val="00624457"/>
    <w:rsid w:val="0062449C"/>
    <w:rsid w:val="006256C6"/>
    <w:rsid w:val="00625DBB"/>
    <w:rsid w:val="006262FD"/>
    <w:rsid w:val="00626B65"/>
    <w:rsid w:val="00627159"/>
    <w:rsid w:val="00630E8A"/>
    <w:rsid w:val="00631525"/>
    <w:rsid w:val="006320D4"/>
    <w:rsid w:val="00632BAE"/>
    <w:rsid w:val="006331CD"/>
    <w:rsid w:val="006340D6"/>
    <w:rsid w:val="00634F48"/>
    <w:rsid w:val="00635317"/>
    <w:rsid w:val="00636255"/>
    <w:rsid w:val="00636512"/>
    <w:rsid w:val="006365C2"/>
    <w:rsid w:val="00637BDD"/>
    <w:rsid w:val="00637D87"/>
    <w:rsid w:val="006411F0"/>
    <w:rsid w:val="00641203"/>
    <w:rsid w:val="006415C3"/>
    <w:rsid w:val="00641602"/>
    <w:rsid w:val="006416D0"/>
    <w:rsid w:val="00641C51"/>
    <w:rsid w:val="0064249D"/>
    <w:rsid w:val="0064295E"/>
    <w:rsid w:val="00643792"/>
    <w:rsid w:val="006444A4"/>
    <w:rsid w:val="006451B8"/>
    <w:rsid w:val="00645C60"/>
    <w:rsid w:val="00645D1C"/>
    <w:rsid w:val="00645F43"/>
    <w:rsid w:val="006461FD"/>
    <w:rsid w:val="00647082"/>
    <w:rsid w:val="0064797F"/>
    <w:rsid w:val="00651CA5"/>
    <w:rsid w:val="00651F07"/>
    <w:rsid w:val="00653043"/>
    <w:rsid w:val="00653159"/>
    <w:rsid w:val="0065677F"/>
    <w:rsid w:val="00657274"/>
    <w:rsid w:val="0065759B"/>
    <w:rsid w:val="00660AA8"/>
    <w:rsid w:val="00660B19"/>
    <w:rsid w:val="00660E32"/>
    <w:rsid w:val="006618F6"/>
    <w:rsid w:val="006634B8"/>
    <w:rsid w:val="00663A79"/>
    <w:rsid w:val="00664981"/>
    <w:rsid w:val="00664B70"/>
    <w:rsid w:val="00665068"/>
    <w:rsid w:val="006651DE"/>
    <w:rsid w:val="006666A2"/>
    <w:rsid w:val="006673A6"/>
    <w:rsid w:val="006703CC"/>
    <w:rsid w:val="00672845"/>
    <w:rsid w:val="00672E4E"/>
    <w:rsid w:val="006736D1"/>
    <w:rsid w:val="00674DDA"/>
    <w:rsid w:val="006750E5"/>
    <w:rsid w:val="006759C5"/>
    <w:rsid w:val="00675C02"/>
    <w:rsid w:val="00675C9D"/>
    <w:rsid w:val="006762B9"/>
    <w:rsid w:val="00677486"/>
    <w:rsid w:val="0067764C"/>
    <w:rsid w:val="0068015C"/>
    <w:rsid w:val="00681964"/>
    <w:rsid w:val="00682F9B"/>
    <w:rsid w:val="00683D94"/>
    <w:rsid w:val="006846E8"/>
    <w:rsid w:val="00684CF2"/>
    <w:rsid w:val="00684F6A"/>
    <w:rsid w:val="0068560A"/>
    <w:rsid w:val="00685E89"/>
    <w:rsid w:val="00686B6E"/>
    <w:rsid w:val="0069037F"/>
    <w:rsid w:val="006919A8"/>
    <w:rsid w:val="00691EC3"/>
    <w:rsid w:val="006925E1"/>
    <w:rsid w:val="00692A6B"/>
    <w:rsid w:val="00693B19"/>
    <w:rsid w:val="00693D94"/>
    <w:rsid w:val="00694B6F"/>
    <w:rsid w:val="00694D4C"/>
    <w:rsid w:val="006950F7"/>
    <w:rsid w:val="0069552E"/>
    <w:rsid w:val="00695D4C"/>
    <w:rsid w:val="00695E85"/>
    <w:rsid w:val="00696053"/>
    <w:rsid w:val="006961C4"/>
    <w:rsid w:val="00697B31"/>
    <w:rsid w:val="00697BE4"/>
    <w:rsid w:val="006A06DB"/>
    <w:rsid w:val="006A0FC8"/>
    <w:rsid w:val="006A11BA"/>
    <w:rsid w:val="006A13B9"/>
    <w:rsid w:val="006A24F8"/>
    <w:rsid w:val="006A33F7"/>
    <w:rsid w:val="006A370D"/>
    <w:rsid w:val="006A3839"/>
    <w:rsid w:val="006A4024"/>
    <w:rsid w:val="006A7364"/>
    <w:rsid w:val="006A769E"/>
    <w:rsid w:val="006A7857"/>
    <w:rsid w:val="006A7C59"/>
    <w:rsid w:val="006B0DBE"/>
    <w:rsid w:val="006B0FEF"/>
    <w:rsid w:val="006B1690"/>
    <w:rsid w:val="006B2694"/>
    <w:rsid w:val="006B28C7"/>
    <w:rsid w:val="006B2A62"/>
    <w:rsid w:val="006B37D0"/>
    <w:rsid w:val="006B604C"/>
    <w:rsid w:val="006B6294"/>
    <w:rsid w:val="006B670C"/>
    <w:rsid w:val="006B67DD"/>
    <w:rsid w:val="006C00A9"/>
    <w:rsid w:val="006C0447"/>
    <w:rsid w:val="006C0AF7"/>
    <w:rsid w:val="006C11F6"/>
    <w:rsid w:val="006C23B8"/>
    <w:rsid w:val="006C290B"/>
    <w:rsid w:val="006C2AF4"/>
    <w:rsid w:val="006C3E5E"/>
    <w:rsid w:val="006C4013"/>
    <w:rsid w:val="006C7882"/>
    <w:rsid w:val="006D035F"/>
    <w:rsid w:val="006D0393"/>
    <w:rsid w:val="006D0DCB"/>
    <w:rsid w:val="006D1071"/>
    <w:rsid w:val="006D196F"/>
    <w:rsid w:val="006D289A"/>
    <w:rsid w:val="006D35B8"/>
    <w:rsid w:val="006D37D8"/>
    <w:rsid w:val="006D3861"/>
    <w:rsid w:val="006D466C"/>
    <w:rsid w:val="006D4C21"/>
    <w:rsid w:val="006D575D"/>
    <w:rsid w:val="006D798F"/>
    <w:rsid w:val="006D7F1D"/>
    <w:rsid w:val="006E0FB3"/>
    <w:rsid w:val="006E1BA8"/>
    <w:rsid w:val="006E2542"/>
    <w:rsid w:val="006E2595"/>
    <w:rsid w:val="006E2AE8"/>
    <w:rsid w:val="006E3007"/>
    <w:rsid w:val="006E369D"/>
    <w:rsid w:val="006E3B41"/>
    <w:rsid w:val="006E7045"/>
    <w:rsid w:val="006F053D"/>
    <w:rsid w:val="006F0BA9"/>
    <w:rsid w:val="006F2B8C"/>
    <w:rsid w:val="006F43D6"/>
    <w:rsid w:val="006F4543"/>
    <w:rsid w:val="006F500C"/>
    <w:rsid w:val="006F658B"/>
    <w:rsid w:val="006F6CD0"/>
    <w:rsid w:val="006F6DC8"/>
    <w:rsid w:val="006F6E47"/>
    <w:rsid w:val="006F6F65"/>
    <w:rsid w:val="00701926"/>
    <w:rsid w:val="0070319D"/>
    <w:rsid w:val="00705362"/>
    <w:rsid w:val="007053AC"/>
    <w:rsid w:val="00705E69"/>
    <w:rsid w:val="00707E02"/>
    <w:rsid w:val="00710174"/>
    <w:rsid w:val="0071051D"/>
    <w:rsid w:val="0071052A"/>
    <w:rsid w:val="00710D5E"/>
    <w:rsid w:val="00711220"/>
    <w:rsid w:val="00711E67"/>
    <w:rsid w:val="007120DB"/>
    <w:rsid w:val="007146E9"/>
    <w:rsid w:val="00714EFA"/>
    <w:rsid w:val="007158E2"/>
    <w:rsid w:val="00715C86"/>
    <w:rsid w:val="00715CD6"/>
    <w:rsid w:val="00722F22"/>
    <w:rsid w:val="007231BC"/>
    <w:rsid w:val="00723771"/>
    <w:rsid w:val="00723E93"/>
    <w:rsid w:val="0072434B"/>
    <w:rsid w:val="00724B0C"/>
    <w:rsid w:val="00724DFB"/>
    <w:rsid w:val="00725958"/>
    <w:rsid w:val="00725E84"/>
    <w:rsid w:val="00725EDC"/>
    <w:rsid w:val="007270FD"/>
    <w:rsid w:val="007271A7"/>
    <w:rsid w:val="00727579"/>
    <w:rsid w:val="0073140E"/>
    <w:rsid w:val="00731CF5"/>
    <w:rsid w:val="00732D45"/>
    <w:rsid w:val="00732D9A"/>
    <w:rsid w:val="00733B59"/>
    <w:rsid w:val="007357E7"/>
    <w:rsid w:val="007367B5"/>
    <w:rsid w:val="0073707E"/>
    <w:rsid w:val="00737901"/>
    <w:rsid w:val="00737DA0"/>
    <w:rsid w:val="0074006F"/>
    <w:rsid w:val="00741369"/>
    <w:rsid w:val="00741BFB"/>
    <w:rsid w:val="00742CFA"/>
    <w:rsid w:val="00743185"/>
    <w:rsid w:val="0074354D"/>
    <w:rsid w:val="007435F9"/>
    <w:rsid w:val="00743DF9"/>
    <w:rsid w:val="00746ECD"/>
    <w:rsid w:val="00747366"/>
    <w:rsid w:val="007504EA"/>
    <w:rsid w:val="00753563"/>
    <w:rsid w:val="00753571"/>
    <w:rsid w:val="00754B45"/>
    <w:rsid w:val="00754B91"/>
    <w:rsid w:val="00754F71"/>
    <w:rsid w:val="0075504D"/>
    <w:rsid w:val="007553EA"/>
    <w:rsid w:val="00755ACF"/>
    <w:rsid w:val="00760BA7"/>
    <w:rsid w:val="00761652"/>
    <w:rsid w:val="00761F21"/>
    <w:rsid w:val="0076247A"/>
    <w:rsid w:val="007626C9"/>
    <w:rsid w:val="00762EEE"/>
    <w:rsid w:val="007635A0"/>
    <w:rsid w:val="00763958"/>
    <w:rsid w:val="00763D5B"/>
    <w:rsid w:val="00763DDA"/>
    <w:rsid w:val="007642BB"/>
    <w:rsid w:val="007665CD"/>
    <w:rsid w:val="00767115"/>
    <w:rsid w:val="00767136"/>
    <w:rsid w:val="007677BA"/>
    <w:rsid w:val="00770880"/>
    <w:rsid w:val="00770CB0"/>
    <w:rsid w:val="007723F1"/>
    <w:rsid w:val="00772A78"/>
    <w:rsid w:val="007731CF"/>
    <w:rsid w:val="00773964"/>
    <w:rsid w:val="00774772"/>
    <w:rsid w:val="00775C5E"/>
    <w:rsid w:val="00775F74"/>
    <w:rsid w:val="00776073"/>
    <w:rsid w:val="0077611B"/>
    <w:rsid w:val="007766D8"/>
    <w:rsid w:val="007768CF"/>
    <w:rsid w:val="00780FAB"/>
    <w:rsid w:val="00781CE6"/>
    <w:rsid w:val="00782705"/>
    <w:rsid w:val="00783C1F"/>
    <w:rsid w:val="007847B7"/>
    <w:rsid w:val="0078617E"/>
    <w:rsid w:val="007878F4"/>
    <w:rsid w:val="0079035A"/>
    <w:rsid w:val="00790DAC"/>
    <w:rsid w:val="00791BF2"/>
    <w:rsid w:val="00791D8E"/>
    <w:rsid w:val="00791F0F"/>
    <w:rsid w:val="0079219A"/>
    <w:rsid w:val="00792BAC"/>
    <w:rsid w:val="00793E69"/>
    <w:rsid w:val="007954AD"/>
    <w:rsid w:val="007960F6"/>
    <w:rsid w:val="00796317"/>
    <w:rsid w:val="007973F4"/>
    <w:rsid w:val="007978B6"/>
    <w:rsid w:val="007A029E"/>
    <w:rsid w:val="007A02EA"/>
    <w:rsid w:val="007A19B7"/>
    <w:rsid w:val="007A19FC"/>
    <w:rsid w:val="007A2101"/>
    <w:rsid w:val="007A281E"/>
    <w:rsid w:val="007A2BD2"/>
    <w:rsid w:val="007A38E5"/>
    <w:rsid w:val="007A3B2A"/>
    <w:rsid w:val="007A6C04"/>
    <w:rsid w:val="007A6E33"/>
    <w:rsid w:val="007A7A30"/>
    <w:rsid w:val="007A7E97"/>
    <w:rsid w:val="007B0090"/>
    <w:rsid w:val="007B07C0"/>
    <w:rsid w:val="007B0891"/>
    <w:rsid w:val="007B2548"/>
    <w:rsid w:val="007B282A"/>
    <w:rsid w:val="007B3DC3"/>
    <w:rsid w:val="007B4192"/>
    <w:rsid w:val="007B4E64"/>
    <w:rsid w:val="007B4FC4"/>
    <w:rsid w:val="007B5C45"/>
    <w:rsid w:val="007B6E0E"/>
    <w:rsid w:val="007B6F1D"/>
    <w:rsid w:val="007B714E"/>
    <w:rsid w:val="007B73BD"/>
    <w:rsid w:val="007B7BC5"/>
    <w:rsid w:val="007B7C9D"/>
    <w:rsid w:val="007C0D88"/>
    <w:rsid w:val="007C0E82"/>
    <w:rsid w:val="007C34B7"/>
    <w:rsid w:val="007C39C0"/>
    <w:rsid w:val="007C4FD6"/>
    <w:rsid w:val="007C61C6"/>
    <w:rsid w:val="007C67F5"/>
    <w:rsid w:val="007C7D88"/>
    <w:rsid w:val="007D022C"/>
    <w:rsid w:val="007D09AD"/>
    <w:rsid w:val="007D0EEA"/>
    <w:rsid w:val="007D1D63"/>
    <w:rsid w:val="007D2107"/>
    <w:rsid w:val="007D423F"/>
    <w:rsid w:val="007D42E0"/>
    <w:rsid w:val="007D5AD2"/>
    <w:rsid w:val="007D64BD"/>
    <w:rsid w:val="007D65C4"/>
    <w:rsid w:val="007E02A3"/>
    <w:rsid w:val="007E262B"/>
    <w:rsid w:val="007E45F8"/>
    <w:rsid w:val="007E4C6B"/>
    <w:rsid w:val="007E4D66"/>
    <w:rsid w:val="007E530F"/>
    <w:rsid w:val="007E5559"/>
    <w:rsid w:val="007E5AE7"/>
    <w:rsid w:val="007E6017"/>
    <w:rsid w:val="007E63F6"/>
    <w:rsid w:val="007E6686"/>
    <w:rsid w:val="007E6957"/>
    <w:rsid w:val="007E6C21"/>
    <w:rsid w:val="007E6C64"/>
    <w:rsid w:val="007E711C"/>
    <w:rsid w:val="007E7C63"/>
    <w:rsid w:val="007E7D88"/>
    <w:rsid w:val="007F09FD"/>
    <w:rsid w:val="007F1366"/>
    <w:rsid w:val="007F14A4"/>
    <w:rsid w:val="007F1E90"/>
    <w:rsid w:val="007F280E"/>
    <w:rsid w:val="007F3FB8"/>
    <w:rsid w:val="007F43F3"/>
    <w:rsid w:val="007F46F2"/>
    <w:rsid w:val="007F4DE8"/>
    <w:rsid w:val="007F5913"/>
    <w:rsid w:val="007F666B"/>
    <w:rsid w:val="007F7EEC"/>
    <w:rsid w:val="0080010D"/>
    <w:rsid w:val="0080174C"/>
    <w:rsid w:val="00801B55"/>
    <w:rsid w:val="0080298E"/>
    <w:rsid w:val="00802FB1"/>
    <w:rsid w:val="008057F3"/>
    <w:rsid w:val="0080675A"/>
    <w:rsid w:val="00806A12"/>
    <w:rsid w:val="0080743C"/>
    <w:rsid w:val="00807FC3"/>
    <w:rsid w:val="00807FCF"/>
    <w:rsid w:val="008102ED"/>
    <w:rsid w:val="00811FE4"/>
    <w:rsid w:val="00812CC1"/>
    <w:rsid w:val="00812EBF"/>
    <w:rsid w:val="00815A63"/>
    <w:rsid w:val="0081686E"/>
    <w:rsid w:val="00820407"/>
    <w:rsid w:val="00820587"/>
    <w:rsid w:val="00821CFC"/>
    <w:rsid w:val="00822499"/>
    <w:rsid w:val="008234B2"/>
    <w:rsid w:val="00824029"/>
    <w:rsid w:val="00824374"/>
    <w:rsid w:val="00824650"/>
    <w:rsid w:val="0082665F"/>
    <w:rsid w:val="00826EC3"/>
    <w:rsid w:val="008273DF"/>
    <w:rsid w:val="00827DA3"/>
    <w:rsid w:val="00830919"/>
    <w:rsid w:val="00833164"/>
    <w:rsid w:val="00834DDE"/>
    <w:rsid w:val="00835714"/>
    <w:rsid w:val="00835BF0"/>
    <w:rsid w:val="008360F8"/>
    <w:rsid w:val="008361F3"/>
    <w:rsid w:val="008364C3"/>
    <w:rsid w:val="008365CE"/>
    <w:rsid w:val="00837862"/>
    <w:rsid w:val="0084153B"/>
    <w:rsid w:val="008432D2"/>
    <w:rsid w:val="00844281"/>
    <w:rsid w:val="0084601B"/>
    <w:rsid w:val="00850875"/>
    <w:rsid w:val="00850937"/>
    <w:rsid w:val="00851863"/>
    <w:rsid w:val="00851889"/>
    <w:rsid w:val="00852304"/>
    <w:rsid w:val="008526D8"/>
    <w:rsid w:val="008538DB"/>
    <w:rsid w:val="00853F6E"/>
    <w:rsid w:val="00854E1D"/>
    <w:rsid w:val="00855981"/>
    <w:rsid w:val="00855ED1"/>
    <w:rsid w:val="00856F10"/>
    <w:rsid w:val="00856FD0"/>
    <w:rsid w:val="00857807"/>
    <w:rsid w:val="00860A09"/>
    <w:rsid w:val="008610C9"/>
    <w:rsid w:val="0086355B"/>
    <w:rsid w:val="00864E67"/>
    <w:rsid w:val="00865AAE"/>
    <w:rsid w:val="00867A68"/>
    <w:rsid w:val="00870D85"/>
    <w:rsid w:val="00871287"/>
    <w:rsid w:val="008726A6"/>
    <w:rsid w:val="00872E4D"/>
    <w:rsid w:val="008739D9"/>
    <w:rsid w:val="00873AE4"/>
    <w:rsid w:val="00873D8A"/>
    <w:rsid w:val="00874600"/>
    <w:rsid w:val="008746CE"/>
    <w:rsid w:val="008756E1"/>
    <w:rsid w:val="00876685"/>
    <w:rsid w:val="00877D10"/>
    <w:rsid w:val="00880A1C"/>
    <w:rsid w:val="00881325"/>
    <w:rsid w:val="00881560"/>
    <w:rsid w:val="00882131"/>
    <w:rsid w:val="00883852"/>
    <w:rsid w:val="00884BCD"/>
    <w:rsid w:val="00884D6E"/>
    <w:rsid w:val="00886578"/>
    <w:rsid w:val="0088698D"/>
    <w:rsid w:val="00886A49"/>
    <w:rsid w:val="00886EEB"/>
    <w:rsid w:val="00887531"/>
    <w:rsid w:val="008901DA"/>
    <w:rsid w:val="008903EC"/>
    <w:rsid w:val="0089103C"/>
    <w:rsid w:val="00891B61"/>
    <w:rsid w:val="00891B9B"/>
    <w:rsid w:val="00891BC8"/>
    <w:rsid w:val="0089215D"/>
    <w:rsid w:val="00892B67"/>
    <w:rsid w:val="00893404"/>
    <w:rsid w:val="00893D9C"/>
    <w:rsid w:val="008942A9"/>
    <w:rsid w:val="0089541C"/>
    <w:rsid w:val="0089568E"/>
    <w:rsid w:val="00895A5C"/>
    <w:rsid w:val="00896142"/>
    <w:rsid w:val="0089667D"/>
    <w:rsid w:val="008974A8"/>
    <w:rsid w:val="008979A3"/>
    <w:rsid w:val="00897CAD"/>
    <w:rsid w:val="00897E55"/>
    <w:rsid w:val="00897F15"/>
    <w:rsid w:val="008A18B2"/>
    <w:rsid w:val="008A2302"/>
    <w:rsid w:val="008A427E"/>
    <w:rsid w:val="008A4667"/>
    <w:rsid w:val="008A4E76"/>
    <w:rsid w:val="008A543F"/>
    <w:rsid w:val="008A5FE5"/>
    <w:rsid w:val="008A626B"/>
    <w:rsid w:val="008A6FC0"/>
    <w:rsid w:val="008A7E87"/>
    <w:rsid w:val="008B2C76"/>
    <w:rsid w:val="008B3868"/>
    <w:rsid w:val="008B44E5"/>
    <w:rsid w:val="008B5372"/>
    <w:rsid w:val="008B5A15"/>
    <w:rsid w:val="008B7074"/>
    <w:rsid w:val="008B715F"/>
    <w:rsid w:val="008B7B01"/>
    <w:rsid w:val="008C0DD5"/>
    <w:rsid w:val="008C1107"/>
    <w:rsid w:val="008C1D03"/>
    <w:rsid w:val="008C2092"/>
    <w:rsid w:val="008C2999"/>
    <w:rsid w:val="008C2B7B"/>
    <w:rsid w:val="008C3254"/>
    <w:rsid w:val="008C3CE6"/>
    <w:rsid w:val="008C4688"/>
    <w:rsid w:val="008C4F5A"/>
    <w:rsid w:val="008C5919"/>
    <w:rsid w:val="008C6FD4"/>
    <w:rsid w:val="008C76D2"/>
    <w:rsid w:val="008C78ED"/>
    <w:rsid w:val="008D0D80"/>
    <w:rsid w:val="008D1C62"/>
    <w:rsid w:val="008D2140"/>
    <w:rsid w:val="008D2957"/>
    <w:rsid w:val="008D2DE1"/>
    <w:rsid w:val="008D3493"/>
    <w:rsid w:val="008D3DAB"/>
    <w:rsid w:val="008D5DA1"/>
    <w:rsid w:val="008D6B39"/>
    <w:rsid w:val="008D6F3A"/>
    <w:rsid w:val="008E048F"/>
    <w:rsid w:val="008E0CF6"/>
    <w:rsid w:val="008E1144"/>
    <w:rsid w:val="008E1411"/>
    <w:rsid w:val="008E2F90"/>
    <w:rsid w:val="008E3519"/>
    <w:rsid w:val="008E3E1C"/>
    <w:rsid w:val="008E5018"/>
    <w:rsid w:val="008E6262"/>
    <w:rsid w:val="008E6A9E"/>
    <w:rsid w:val="008E6CA0"/>
    <w:rsid w:val="008E71B1"/>
    <w:rsid w:val="008E750E"/>
    <w:rsid w:val="008F15DE"/>
    <w:rsid w:val="008F26E4"/>
    <w:rsid w:val="008F2B0E"/>
    <w:rsid w:val="008F556B"/>
    <w:rsid w:val="008F655E"/>
    <w:rsid w:val="008F74B1"/>
    <w:rsid w:val="008F7DF9"/>
    <w:rsid w:val="0090001B"/>
    <w:rsid w:val="0090058B"/>
    <w:rsid w:val="00901365"/>
    <w:rsid w:val="00902423"/>
    <w:rsid w:val="00903169"/>
    <w:rsid w:val="00903624"/>
    <w:rsid w:val="00903E8A"/>
    <w:rsid w:val="00904694"/>
    <w:rsid w:val="009048BD"/>
    <w:rsid w:val="00904C52"/>
    <w:rsid w:val="00904E17"/>
    <w:rsid w:val="00905657"/>
    <w:rsid w:val="0090565F"/>
    <w:rsid w:val="0090695E"/>
    <w:rsid w:val="00906E35"/>
    <w:rsid w:val="00911601"/>
    <w:rsid w:val="00915CC4"/>
    <w:rsid w:val="00915FB5"/>
    <w:rsid w:val="00916424"/>
    <w:rsid w:val="0091653C"/>
    <w:rsid w:val="00916F0B"/>
    <w:rsid w:val="0091762D"/>
    <w:rsid w:val="00917FC3"/>
    <w:rsid w:val="009203C0"/>
    <w:rsid w:val="00921E20"/>
    <w:rsid w:val="0092277D"/>
    <w:rsid w:val="009236F0"/>
    <w:rsid w:val="00923BD3"/>
    <w:rsid w:val="00924A0B"/>
    <w:rsid w:val="00924BE9"/>
    <w:rsid w:val="00925203"/>
    <w:rsid w:val="00925404"/>
    <w:rsid w:val="009258E1"/>
    <w:rsid w:val="00925E58"/>
    <w:rsid w:val="0092680E"/>
    <w:rsid w:val="00926900"/>
    <w:rsid w:val="0092721F"/>
    <w:rsid w:val="00927924"/>
    <w:rsid w:val="00930057"/>
    <w:rsid w:val="009308D9"/>
    <w:rsid w:val="00930D43"/>
    <w:rsid w:val="0093167C"/>
    <w:rsid w:val="009345EF"/>
    <w:rsid w:val="00935D8E"/>
    <w:rsid w:val="009366C1"/>
    <w:rsid w:val="0094043A"/>
    <w:rsid w:val="00940EC0"/>
    <w:rsid w:val="009414D7"/>
    <w:rsid w:val="009417CF"/>
    <w:rsid w:val="0094212C"/>
    <w:rsid w:val="00945458"/>
    <w:rsid w:val="009462D5"/>
    <w:rsid w:val="009468CD"/>
    <w:rsid w:val="00946D41"/>
    <w:rsid w:val="0095040F"/>
    <w:rsid w:val="009538C2"/>
    <w:rsid w:val="00956BF2"/>
    <w:rsid w:val="00956C4D"/>
    <w:rsid w:val="00956F69"/>
    <w:rsid w:val="00960293"/>
    <w:rsid w:val="00960B00"/>
    <w:rsid w:val="009614C9"/>
    <w:rsid w:val="00962F79"/>
    <w:rsid w:val="009640E7"/>
    <w:rsid w:val="0096588E"/>
    <w:rsid w:val="009658C4"/>
    <w:rsid w:val="00965C1A"/>
    <w:rsid w:val="00966135"/>
    <w:rsid w:val="009671A1"/>
    <w:rsid w:val="00967AE7"/>
    <w:rsid w:val="00967F11"/>
    <w:rsid w:val="00967FB7"/>
    <w:rsid w:val="00970C2B"/>
    <w:rsid w:val="0097120C"/>
    <w:rsid w:val="009713E7"/>
    <w:rsid w:val="00972756"/>
    <w:rsid w:val="00973C4F"/>
    <w:rsid w:val="0097458C"/>
    <w:rsid w:val="00975160"/>
    <w:rsid w:val="009759E1"/>
    <w:rsid w:val="00976792"/>
    <w:rsid w:val="009803DB"/>
    <w:rsid w:val="00981F1D"/>
    <w:rsid w:val="009837DC"/>
    <w:rsid w:val="0098551C"/>
    <w:rsid w:val="00985733"/>
    <w:rsid w:val="00986275"/>
    <w:rsid w:val="0098678E"/>
    <w:rsid w:val="0099039C"/>
    <w:rsid w:val="0099097B"/>
    <w:rsid w:val="00990A8B"/>
    <w:rsid w:val="00992151"/>
    <w:rsid w:val="0099291A"/>
    <w:rsid w:val="00992EE4"/>
    <w:rsid w:val="00993D23"/>
    <w:rsid w:val="00994D90"/>
    <w:rsid w:val="00994E36"/>
    <w:rsid w:val="00995868"/>
    <w:rsid w:val="00996562"/>
    <w:rsid w:val="0099657B"/>
    <w:rsid w:val="00996948"/>
    <w:rsid w:val="00996C2F"/>
    <w:rsid w:val="00997DDF"/>
    <w:rsid w:val="009A0DCE"/>
    <w:rsid w:val="009A1A71"/>
    <w:rsid w:val="009A1ADF"/>
    <w:rsid w:val="009A2883"/>
    <w:rsid w:val="009A293F"/>
    <w:rsid w:val="009A4A63"/>
    <w:rsid w:val="009A4DA5"/>
    <w:rsid w:val="009A5407"/>
    <w:rsid w:val="009A6001"/>
    <w:rsid w:val="009B0462"/>
    <w:rsid w:val="009B0D6F"/>
    <w:rsid w:val="009B179E"/>
    <w:rsid w:val="009B1B1C"/>
    <w:rsid w:val="009B3453"/>
    <w:rsid w:val="009B3563"/>
    <w:rsid w:val="009B5FFD"/>
    <w:rsid w:val="009B6683"/>
    <w:rsid w:val="009B67A6"/>
    <w:rsid w:val="009B68BC"/>
    <w:rsid w:val="009B6AE4"/>
    <w:rsid w:val="009B7E43"/>
    <w:rsid w:val="009C0AC1"/>
    <w:rsid w:val="009C11AE"/>
    <w:rsid w:val="009C23BD"/>
    <w:rsid w:val="009C2908"/>
    <w:rsid w:val="009C2BA0"/>
    <w:rsid w:val="009C2DF4"/>
    <w:rsid w:val="009C3AC7"/>
    <w:rsid w:val="009C42B7"/>
    <w:rsid w:val="009C47A2"/>
    <w:rsid w:val="009C6589"/>
    <w:rsid w:val="009C752B"/>
    <w:rsid w:val="009D1305"/>
    <w:rsid w:val="009D13DB"/>
    <w:rsid w:val="009D1542"/>
    <w:rsid w:val="009D178F"/>
    <w:rsid w:val="009D1FDA"/>
    <w:rsid w:val="009D27DB"/>
    <w:rsid w:val="009D4292"/>
    <w:rsid w:val="009D46C9"/>
    <w:rsid w:val="009D4ABA"/>
    <w:rsid w:val="009D533A"/>
    <w:rsid w:val="009D60DF"/>
    <w:rsid w:val="009D67E7"/>
    <w:rsid w:val="009D68AA"/>
    <w:rsid w:val="009E0734"/>
    <w:rsid w:val="009E10B4"/>
    <w:rsid w:val="009E2509"/>
    <w:rsid w:val="009E3514"/>
    <w:rsid w:val="009E4B5C"/>
    <w:rsid w:val="009E78BE"/>
    <w:rsid w:val="009F05C9"/>
    <w:rsid w:val="009F1071"/>
    <w:rsid w:val="009F17FA"/>
    <w:rsid w:val="009F2102"/>
    <w:rsid w:val="009F216B"/>
    <w:rsid w:val="009F2B54"/>
    <w:rsid w:val="009F4282"/>
    <w:rsid w:val="009F4A52"/>
    <w:rsid w:val="009F4D46"/>
    <w:rsid w:val="009F4D87"/>
    <w:rsid w:val="009F5488"/>
    <w:rsid w:val="009F56D8"/>
    <w:rsid w:val="009F5887"/>
    <w:rsid w:val="009F58F3"/>
    <w:rsid w:val="00A009F5"/>
    <w:rsid w:val="00A009FC"/>
    <w:rsid w:val="00A010B8"/>
    <w:rsid w:val="00A02D78"/>
    <w:rsid w:val="00A02E17"/>
    <w:rsid w:val="00A036F4"/>
    <w:rsid w:val="00A0388A"/>
    <w:rsid w:val="00A03D83"/>
    <w:rsid w:val="00A0487E"/>
    <w:rsid w:val="00A05330"/>
    <w:rsid w:val="00A073C6"/>
    <w:rsid w:val="00A077F2"/>
    <w:rsid w:val="00A106A6"/>
    <w:rsid w:val="00A10D3D"/>
    <w:rsid w:val="00A10FC9"/>
    <w:rsid w:val="00A110F2"/>
    <w:rsid w:val="00A13B83"/>
    <w:rsid w:val="00A13D06"/>
    <w:rsid w:val="00A15B4D"/>
    <w:rsid w:val="00A1737E"/>
    <w:rsid w:val="00A1740F"/>
    <w:rsid w:val="00A1772E"/>
    <w:rsid w:val="00A1776D"/>
    <w:rsid w:val="00A17EA4"/>
    <w:rsid w:val="00A217B7"/>
    <w:rsid w:val="00A2348A"/>
    <w:rsid w:val="00A2459D"/>
    <w:rsid w:val="00A24C34"/>
    <w:rsid w:val="00A25158"/>
    <w:rsid w:val="00A2693D"/>
    <w:rsid w:val="00A26EBE"/>
    <w:rsid w:val="00A270A8"/>
    <w:rsid w:val="00A2714A"/>
    <w:rsid w:val="00A328F8"/>
    <w:rsid w:val="00A32DBE"/>
    <w:rsid w:val="00A33241"/>
    <w:rsid w:val="00A335A9"/>
    <w:rsid w:val="00A348FD"/>
    <w:rsid w:val="00A34B3C"/>
    <w:rsid w:val="00A35410"/>
    <w:rsid w:val="00A379D8"/>
    <w:rsid w:val="00A4055D"/>
    <w:rsid w:val="00A42D7B"/>
    <w:rsid w:val="00A430DE"/>
    <w:rsid w:val="00A435E0"/>
    <w:rsid w:val="00A447F6"/>
    <w:rsid w:val="00A44C1C"/>
    <w:rsid w:val="00A46968"/>
    <w:rsid w:val="00A4706F"/>
    <w:rsid w:val="00A47378"/>
    <w:rsid w:val="00A47DAC"/>
    <w:rsid w:val="00A47DD3"/>
    <w:rsid w:val="00A505F0"/>
    <w:rsid w:val="00A5134C"/>
    <w:rsid w:val="00A514D6"/>
    <w:rsid w:val="00A51DA2"/>
    <w:rsid w:val="00A5343D"/>
    <w:rsid w:val="00A54F44"/>
    <w:rsid w:val="00A55170"/>
    <w:rsid w:val="00A56737"/>
    <w:rsid w:val="00A56C09"/>
    <w:rsid w:val="00A575FB"/>
    <w:rsid w:val="00A6068B"/>
    <w:rsid w:val="00A60D70"/>
    <w:rsid w:val="00A60F9F"/>
    <w:rsid w:val="00A610C2"/>
    <w:rsid w:val="00A616D8"/>
    <w:rsid w:val="00A6226F"/>
    <w:rsid w:val="00A624BC"/>
    <w:rsid w:val="00A62F26"/>
    <w:rsid w:val="00A63899"/>
    <w:rsid w:val="00A64396"/>
    <w:rsid w:val="00A643F3"/>
    <w:rsid w:val="00A64C37"/>
    <w:rsid w:val="00A65054"/>
    <w:rsid w:val="00A67EB5"/>
    <w:rsid w:val="00A703A0"/>
    <w:rsid w:val="00A70898"/>
    <w:rsid w:val="00A70D94"/>
    <w:rsid w:val="00A70E9C"/>
    <w:rsid w:val="00A72429"/>
    <w:rsid w:val="00A7245F"/>
    <w:rsid w:val="00A725DB"/>
    <w:rsid w:val="00A7386D"/>
    <w:rsid w:val="00A747EC"/>
    <w:rsid w:val="00A74EAE"/>
    <w:rsid w:val="00A75412"/>
    <w:rsid w:val="00A75C5F"/>
    <w:rsid w:val="00A76078"/>
    <w:rsid w:val="00A77EEF"/>
    <w:rsid w:val="00A804ED"/>
    <w:rsid w:val="00A80B33"/>
    <w:rsid w:val="00A80F24"/>
    <w:rsid w:val="00A82A46"/>
    <w:rsid w:val="00A8626A"/>
    <w:rsid w:val="00A86582"/>
    <w:rsid w:val="00A868CB"/>
    <w:rsid w:val="00A90CEA"/>
    <w:rsid w:val="00A90EB7"/>
    <w:rsid w:val="00A92B21"/>
    <w:rsid w:val="00A92BED"/>
    <w:rsid w:val="00A93112"/>
    <w:rsid w:val="00A93AA9"/>
    <w:rsid w:val="00A94643"/>
    <w:rsid w:val="00A94780"/>
    <w:rsid w:val="00A95418"/>
    <w:rsid w:val="00A95936"/>
    <w:rsid w:val="00A96296"/>
    <w:rsid w:val="00A971E4"/>
    <w:rsid w:val="00A97EAF"/>
    <w:rsid w:val="00AA0958"/>
    <w:rsid w:val="00AA190D"/>
    <w:rsid w:val="00AA475A"/>
    <w:rsid w:val="00AA4FE0"/>
    <w:rsid w:val="00AA5130"/>
    <w:rsid w:val="00AA5AE4"/>
    <w:rsid w:val="00AA6B76"/>
    <w:rsid w:val="00AA70E3"/>
    <w:rsid w:val="00AA76EB"/>
    <w:rsid w:val="00AA7F33"/>
    <w:rsid w:val="00AB040F"/>
    <w:rsid w:val="00AB08E0"/>
    <w:rsid w:val="00AB2305"/>
    <w:rsid w:val="00AB31D1"/>
    <w:rsid w:val="00AB59A5"/>
    <w:rsid w:val="00AB624F"/>
    <w:rsid w:val="00AB62BD"/>
    <w:rsid w:val="00AB73BE"/>
    <w:rsid w:val="00AC0915"/>
    <w:rsid w:val="00AC2443"/>
    <w:rsid w:val="00AC3123"/>
    <w:rsid w:val="00AC3AA6"/>
    <w:rsid w:val="00AC3D21"/>
    <w:rsid w:val="00AC3E98"/>
    <w:rsid w:val="00AC3F65"/>
    <w:rsid w:val="00AC3FCE"/>
    <w:rsid w:val="00AC415A"/>
    <w:rsid w:val="00AC42DA"/>
    <w:rsid w:val="00AC48C5"/>
    <w:rsid w:val="00AC5447"/>
    <w:rsid w:val="00AC64CC"/>
    <w:rsid w:val="00AC65B5"/>
    <w:rsid w:val="00AC768E"/>
    <w:rsid w:val="00AC776C"/>
    <w:rsid w:val="00AC7C11"/>
    <w:rsid w:val="00AD24BA"/>
    <w:rsid w:val="00AD285E"/>
    <w:rsid w:val="00AD2EC7"/>
    <w:rsid w:val="00AD366C"/>
    <w:rsid w:val="00AD36D4"/>
    <w:rsid w:val="00AD3B52"/>
    <w:rsid w:val="00AD45F3"/>
    <w:rsid w:val="00AD4D79"/>
    <w:rsid w:val="00AD51C0"/>
    <w:rsid w:val="00AD557A"/>
    <w:rsid w:val="00AD56C0"/>
    <w:rsid w:val="00AD67A1"/>
    <w:rsid w:val="00AE04D2"/>
    <w:rsid w:val="00AE0BBD"/>
    <w:rsid w:val="00AE1179"/>
    <w:rsid w:val="00AE1C47"/>
    <w:rsid w:val="00AE1C80"/>
    <w:rsid w:val="00AE24AF"/>
    <w:rsid w:val="00AE2886"/>
    <w:rsid w:val="00AE29EB"/>
    <w:rsid w:val="00AE353C"/>
    <w:rsid w:val="00AE3A7C"/>
    <w:rsid w:val="00AE3C64"/>
    <w:rsid w:val="00AE3D1A"/>
    <w:rsid w:val="00AE3FC5"/>
    <w:rsid w:val="00AE41E7"/>
    <w:rsid w:val="00AE47E5"/>
    <w:rsid w:val="00AE5092"/>
    <w:rsid w:val="00AE51C8"/>
    <w:rsid w:val="00AE57A8"/>
    <w:rsid w:val="00AE695A"/>
    <w:rsid w:val="00AE6C5E"/>
    <w:rsid w:val="00AF0147"/>
    <w:rsid w:val="00AF021A"/>
    <w:rsid w:val="00AF0906"/>
    <w:rsid w:val="00AF1B46"/>
    <w:rsid w:val="00AF3010"/>
    <w:rsid w:val="00AF3288"/>
    <w:rsid w:val="00AF48E9"/>
    <w:rsid w:val="00AF4DE6"/>
    <w:rsid w:val="00AF67C0"/>
    <w:rsid w:val="00AF7727"/>
    <w:rsid w:val="00AF7EA1"/>
    <w:rsid w:val="00B0128E"/>
    <w:rsid w:val="00B01B5E"/>
    <w:rsid w:val="00B0246E"/>
    <w:rsid w:val="00B02BB7"/>
    <w:rsid w:val="00B03A26"/>
    <w:rsid w:val="00B03DEC"/>
    <w:rsid w:val="00B04ABE"/>
    <w:rsid w:val="00B050C4"/>
    <w:rsid w:val="00B053E7"/>
    <w:rsid w:val="00B06DFF"/>
    <w:rsid w:val="00B07937"/>
    <w:rsid w:val="00B07CC2"/>
    <w:rsid w:val="00B10425"/>
    <w:rsid w:val="00B10865"/>
    <w:rsid w:val="00B11C1E"/>
    <w:rsid w:val="00B12D8C"/>
    <w:rsid w:val="00B140D2"/>
    <w:rsid w:val="00B154D3"/>
    <w:rsid w:val="00B16A6E"/>
    <w:rsid w:val="00B16D62"/>
    <w:rsid w:val="00B20918"/>
    <w:rsid w:val="00B2169A"/>
    <w:rsid w:val="00B21A42"/>
    <w:rsid w:val="00B21E73"/>
    <w:rsid w:val="00B23043"/>
    <w:rsid w:val="00B24BE5"/>
    <w:rsid w:val="00B2527C"/>
    <w:rsid w:val="00B25F22"/>
    <w:rsid w:val="00B264BD"/>
    <w:rsid w:val="00B26723"/>
    <w:rsid w:val="00B272D1"/>
    <w:rsid w:val="00B27A38"/>
    <w:rsid w:val="00B3024B"/>
    <w:rsid w:val="00B30CBB"/>
    <w:rsid w:val="00B312D2"/>
    <w:rsid w:val="00B313C7"/>
    <w:rsid w:val="00B32A00"/>
    <w:rsid w:val="00B32B6B"/>
    <w:rsid w:val="00B32F32"/>
    <w:rsid w:val="00B33DB7"/>
    <w:rsid w:val="00B34C70"/>
    <w:rsid w:val="00B3527D"/>
    <w:rsid w:val="00B353C0"/>
    <w:rsid w:val="00B35558"/>
    <w:rsid w:val="00B368FB"/>
    <w:rsid w:val="00B37D1F"/>
    <w:rsid w:val="00B4028F"/>
    <w:rsid w:val="00B41A04"/>
    <w:rsid w:val="00B42D37"/>
    <w:rsid w:val="00B42EFF"/>
    <w:rsid w:val="00B42F87"/>
    <w:rsid w:val="00B4310F"/>
    <w:rsid w:val="00B43761"/>
    <w:rsid w:val="00B44274"/>
    <w:rsid w:val="00B4460B"/>
    <w:rsid w:val="00B44731"/>
    <w:rsid w:val="00B4474E"/>
    <w:rsid w:val="00B46A58"/>
    <w:rsid w:val="00B501BC"/>
    <w:rsid w:val="00B50218"/>
    <w:rsid w:val="00B50477"/>
    <w:rsid w:val="00B51002"/>
    <w:rsid w:val="00B51EA3"/>
    <w:rsid w:val="00B529FA"/>
    <w:rsid w:val="00B53763"/>
    <w:rsid w:val="00B539A1"/>
    <w:rsid w:val="00B55EC1"/>
    <w:rsid w:val="00B57B3E"/>
    <w:rsid w:val="00B617A1"/>
    <w:rsid w:val="00B61DFB"/>
    <w:rsid w:val="00B621C4"/>
    <w:rsid w:val="00B628B6"/>
    <w:rsid w:val="00B62B5F"/>
    <w:rsid w:val="00B6329E"/>
    <w:rsid w:val="00B638C3"/>
    <w:rsid w:val="00B63EC0"/>
    <w:rsid w:val="00B65D13"/>
    <w:rsid w:val="00B704B6"/>
    <w:rsid w:val="00B71839"/>
    <w:rsid w:val="00B71A13"/>
    <w:rsid w:val="00B730C8"/>
    <w:rsid w:val="00B73A28"/>
    <w:rsid w:val="00B740BB"/>
    <w:rsid w:val="00B7426F"/>
    <w:rsid w:val="00B7434F"/>
    <w:rsid w:val="00B75127"/>
    <w:rsid w:val="00B7512E"/>
    <w:rsid w:val="00B75B3A"/>
    <w:rsid w:val="00B76C2F"/>
    <w:rsid w:val="00B777D7"/>
    <w:rsid w:val="00B77C5C"/>
    <w:rsid w:val="00B77D53"/>
    <w:rsid w:val="00B80369"/>
    <w:rsid w:val="00B80565"/>
    <w:rsid w:val="00B806D3"/>
    <w:rsid w:val="00B809C7"/>
    <w:rsid w:val="00B81A2A"/>
    <w:rsid w:val="00B8225B"/>
    <w:rsid w:val="00B825C4"/>
    <w:rsid w:val="00B84765"/>
    <w:rsid w:val="00B84D17"/>
    <w:rsid w:val="00B852D5"/>
    <w:rsid w:val="00B858A4"/>
    <w:rsid w:val="00B85FFC"/>
    <w:rsid w:val="00B87390"/>
    <w:rsid w:val="00B87A9A"/>
    <w:rsid w:val="00B87D22"/>
    <w:rsid w:val="00B908A8"/>
    <w:rsid w:val="00B90B85"/>
    <w:rsid w:val="00B91D36"/>
    <w:rsid w:val="00B94235"/>
    <w:rsid w:val="00B94944"/>
    <w:rsid w:val="00B95090"/>
    <w:rsid w:val="00B950BF"/>
    <w:rsid w:val="00B95F11"/>
    <w:rsid w:val="00B968A0"/>
    <w:rsid w:val="00B9756F"/>
    <w:rsid w:val="00B97D36"/>
    <w:rsid w:val="00B97F54"/>
    <w:rsid w:val="00BA02F6"/>
    <w:rsid w:val="00BA0C2B"/>
    <w:rsid w:val="00BA135A"/>
    <w:rsid w:val="00BA1682"/>
    <w:rsid w:val="00BA2CC2"/>
    <w:rsid w:val="00BA37D4"/>
    <w:rsid w:val="00BA3978"/>
    <w:rsid w:val="00BA3B85"/>
    <w:rsid w:val="00BA48A1"/>
    <w:rsid w:val="00BA551C"/>
    <w:rsid w:val="00BA6A55"/>
    <w:rsid w:val="00BA6B22"/>
    <w:rsid w:val="00BA6B90"/>
    <w:rsid w:val="00BA6E44"/>
    <w:rsid w:val="00BA754F"/>
    <w:rsid w:val="00BB035B"/>
    <w:rsid w:val="00BB13D2"/>
    <w:rsid w:val="00BB1C84"/>
    <w:rsid w:val="00BB255F"/>
    <w:rsid w:val="00BB2ECE"/>
    <w:rsid w:val="00BB4420"/>
    <w:rsid w:val="00BB5AE5"/>
    <w:rsid w:val="00BB6D69"/>
    <w:rsid w:val="00BB74F9"/>
    <w:rsid w:val="00BC0BBE"/>
    <w:rsid w:val="00BC1751"/>
    <w:rsid w:val="00BC1EDA"/>
    <w:rsid w:val="00BC367A"/>
    <w:rsid w:val="00BC4559"/>
    <w:rsid w:val="00BC5E92"/>
    <w:rsid w:val="00BC6DAF"/>
    <w:rsid w:val="00BD1DA5"/>
    <w:rsid w:val="00BD22B0"/>
    <w:rsid w:val="00BD2DCF"/>
    <w:rsid w:val="00BD3637"/>
    <w:rsid w:val="00BD37F5"/>
    <w:rsid w:val="00BD3D25"/>
    <w:rsid w:val="00BD5668"/>
    <w:rsid w:val="00BD5C02"/>
    <w:rsid w:val="00BD73CC"/>
    <w:rsid w:val="00BE14CC"/>
    <w:rsid w:val="00BE1BBE"/>
    <w:rsid w:val="00BE2BA4"/>
    <w:rsid w:val="00BE3FDF"/>
    <w:rsid w:val="00BE4011"/>
    <w:rsid w:val="00BE6857"/>
    <w:rsid w:val="00BE723D"/>
    <w:rsid w:val="00BF024A"/>
    <w:rsid w:val="00BF1FD7"/>
    <w:rsid w:val="00BF3233"/>
    <w:rsid w:val="00BF3384"/>
    <w:rsid w:val="00BF3E95"/>
    <w:rsid w:val="00BF4FD5"/>
    <w:rsid w:val="00BF50BE"/>
    <w:rsid w:val="00BF62E7"/>
    <w:rsid w:val="00BF6F0F"/>
    <w:rsid w:val="00BF794B"/>
    <w:rsid w:val="00BF7FFA"/>
    <w:rsid w:val="00C0058F"/>
    <w:rsid w:val="00C005D8"/>
    <w:rsid w:val="00C017B9"/>
    <w:rsid w:val="00C019EF"/>
    <w:rsid w:val="00C01D4E"/>
    <w:rsid w:val="00C030D8"/>
    <w:rsid w:val="00C031F6"/>
    <w:rsid w:val="00C0324A"/>
    <w:rsid w:val="00C03689"/>
    <w:rsid w:val="00C044B3"/>
    <w:rsid w:val="00C056C0"/>
    <w:rsid w:val="00C06E80"/>
    <w:rsid w:val="00C074C4"/>
    <w:rsid w:val="00C100FD"/>
    <w:rsid w:val="00C11628"/>
    <w:rsid w:val="00C1163A"/>
    <w:rsid w:val="00C11AE8"/>
    <w:rsid w:val="00C11E99"/>
    <w:rsid w:val="00C122AF"/>
    <w:rsid w:val="00C129E1"/>
    <w:rsid w:val="00C12F35"/>
    <w:rsid w:val="00C13126"/>
    <w:rsid w:val="00C14ACC"/>
    <w:rsid w:val="00C15DA7"/>
    <w:rsid w:val="00C17D42"/>
    <w:rsid w:val="00C20EB8"/>
    <w:rsid w:val="00C2182E"/>
    <w:rsid w:val="00C219B8"/>
    <w:rsid w:val="00C220F2"/>
    <w:rsid w:val="00C231DB"/>
    <w:rsid w:val="00C23AB7"/>
    <w:rsid w:val="00C23D5C"/>
    <w:rsid w:val="00C2407C"/>
    <w:rsid w:val="00C241B7"/>
    <w:rsid w:val="00C244CE"/>
    <w:rsid w:val="00C24A8D"/>
    <w:rsid w:val="00C256D0"/>
    <w:rsid w:val="00C27D8F"/>
    <w:rsid w:val="00C311E0"/>
    <w:rsid w:val="00C31341"/>
    <w:rsid w:val="00C320C8"/>
    <w:rsid w:val="00C320F9"/>
    <w:rsid w:val="00C3441E"/>
    <w:rsid w:val="00C3451E"/>
    <w:rsid w:val="00C3482D"/>
    <w:rsid w:val="00C34946"/>
    <w:rsid w:val="00C34ED0"/>
    <w:rsid w:val="00C353F4"/>
    <w:rsid w:val="00C43360"/>
    <w:rsid w:val="00C44AB0"/>
    <w:rsid w:val="00C47798"/>
    <w:rsid w:val="00C47F09"/>
    <w:rsid w:val="00C47FD8"/>
    <w:rsid w:val="00C500DB"/>
    <w:rsid w:val="00C52CA5"/>
    <w:rsid w:val="00C52CE2"/>
    <w:rsid w:val="00C5453F"/>
    <w:rsid w:val="00C546C4"/>
    <w:rsid w:val="00C546DA"/>
    <w:rsid w:val="00C55489"/>
    <w:rsid w:val="00C55865"/>
    <w:rsid w:val="00C55A01"/>
    <w:rsid w:val="00C55D63"/>
    <w:rsid w:val="00C55FC7"/>
    <w:rsid w:val="00C569DA"/>
    <w:rsid w:val="00C56A8F"/>
    <w:rsid w:val="00C57698"/>
    <w:rsid w:val="00C57D1E"/>
    <w:rsid w:val="00C61649"/>
    <w:rsid w:val="00C62B2A"/>
    <w:rsid w:val="00C6381D"/>
    <w:rsid w:val="00C64015"/>
    <w:rsid w:val="00C64633"/>
    <w:rsid w:val="00C650C8"/>
    <w:rsid w:val="00C65FEE"/>
    <w:rsid w:val="00C66B38"/>
    <w:rsid w:val="00C66C60"/>
    <w:rsid w:val="00C70040"/>
    <w:rsid w:val="00C7022B"/>
    <w:rsid w:val="00C70B02"/>
    <w:rsid w:val="00C74048"/>
    <w:rsid w:val="00C748E1"/>
    <w:rsid w:val="00C75269"/>
    <w:rsid w:val="00C75EBF"/>
    <w:rsid w:val="00C76196"/>
    <w:rsid w:val="00C767D6"/>
    <w:rsid w:val="00C769B7"/>
    <w:rsid w:val="00C76FB8"/>
    <w:rsid w:val="00C77B70"/>
    <w:rsid w:val="00C80E55"/>
    <w:rsid w:val="00C81658"/>
    <w:rsid w:val="00C81CF4"/>
    <w:rsid w:val="00C82629"/>
    <w:rsid w:val="00C832DC"/>
    <w:rsid w:val="00C836D7"/>
    <w:rsid w:val="00C83AC4"/>
    <w:rsid w:val="00C84172"/>
    <w:rsid w:val="00C845EA"/>
    <w:rsid w:val="00C84B7C"/>
    <w:rsid w:val="00C84B90"/>
    <w:rsid w:val="00C8513D"/>
    <w:rsid w:val="00C90433"/>
    <w:rsid w:val="00C9046B"/>
    <w:rsid w:val="00C90BBD"/>
    <w:rsid w:val="00C928C8"/>
    <w:rsid w:val="00C92952"/>
    <w:rsid w:val="00C92EC0"/>
    <w:rsid w:val="00C952D2"/>
    <w:rsid w:val="00C95551"/>
    <w:rsid w:val="00C96286"/>
    <w:rsid w:val="00C968CB"/>
    <w:rsid w:val="00C96F6E"/>
    <w:rsid w:val="00C9765B"/>
    <w:rsid w:val="00CA0892"/>
    <w:rsid w:val="00CA0ACB"/>
    <w:rsid w:val="00CA2463"/>
    <w:rsid w:val="00CA3623"/>
    <w:rsid w:val="00CA3785"/>
    <w:rsid w:val="00CA38A3"/>
    <w:rsid w:val="00CA49B1"/>
    <w:rsid w:val="00CA4B43"/>
    <w:rsid w:val="00CA53D0"/>
    <w:rsid w:val="00CA55ED"/>
    <w:rsid w:val="00CB0C4A"/>
    <w:rsid w:val="00CB1FA6"/>
    <w:rsid w:val="00CB3354"/>
    <w:rsid w:val="00CB3A48"/>
    <w:rsid w:val="00CB490F"/>
    <w:rsid w:val="00CB5976"/>
    <w:rsid w:val="00CB6314"/>
    <w:rsid w:val="00CB708D"/>
    <w:rsid w:val="00CB7105"/>
    <w:rsid w:val="00CC1355"/>
    <w:rsid w:val="00CC27FA"/>
    <w:rsid w:val="00CC38F4"/>
    <w:rsid w:val="00CC3905"/>
    <w:rsid w:val="00CC4BC1"/>
    <w:rsid w:val="00CC4F79"/>
    <w:rsid w:val="00CC6154"/>
    <w:rsid w:val="00CC6518"/>
    <w:rsid w:val="00CC6839"/>
    <w:rsid w:val="00CC73C3"/>
    <w:rsid w:val="00CC778D"/>
    <w:rsid w:val="00CC7E63"/>
    <w:rsid w:val="00CC7EB8"/>
    <w:rsid w:val="00CD0108"/>
    <w:rsid w:val="00CD0695"/>
    <w:rsid w:val="00CD12EA"/>
    <w:rsid w:val="00CD1C3B"/>
    <w:rsid w:val="00CD1EE7"/>
    <w:rsid w:val="00CD2FEC"/>
    <w:rsid w:val="00CD31FB"/>
    <w:rsid w:val="00CD3DD3"/>
    <w:rsid w:val="00CD3F52"/>
    <w:rsid w:val="00CD4D0A"/>
    <w:rsid w:val="00CD4F7E"/>
    <w:rsid w:val="00CD6552"/>
    <w:rsid w:val="00CD7224"/>
    <w:rsid w:val="00CD79F0"/>
    <w:rsid w:val="00CE0F87"/>
    <w:rsid w:val="00CE1B01"/>
    <w:rsid w:val="00CE1B09"/>
    <w:rsid w:val="00CE2BC0"/>
    <w:rsid w:val="00CE2C34"/>
    <w:rsid w:val="00CE3533"/>
    <w:rsid w:val="00CE3714"/>
    <w:rsid w:val="00CE53C2"/>
    <w:rsid w:val="00CE5409"/>
    <w:rsid w:val="00CE6E6D"/>
    <w:rsid w:val="00CE71BE"/>
    <w:rsid w:val="00CF0D11"/>
    <w:rsid w:val="00CF1247"/>
    <w:rsid w:val="00CF1DCD"/>
    <w:rsid w:val="00CF1F36"/>
    <w:rsid w:val="00CF2462"/>
    <w:rsid w:val="00CF262F"/>
    <w:rsid w:val="00CF3901"/>
    <w:rsid w:val="00CF4AF0"/>
    <w:rsid w:val="00CF4AF4"/>
    <w:rsid w:val="00CF59A1"/>
    <w:rsid w:val="00CF646F"/>
    <w:rsid w:val="00CF7F16"/>
    <w:rsid w:val="00D00B70"/>
    <w:rsid w:val="00D00C8F"/>
    <w:rsid w:val="00D01081"/>
    <w:rsid w:val="00D01A9C"/>
    <w:rsid w:val="00D0329B"/>
    <w:rsid w:val="00D04128"/>
    <w:rsid w:val="00D056F5"/>
    <w:rsid w:val="00D057BF"/>
    <w:rsid w:val="00D0599A"/>
    <w:rsid w:val="00D06E96"/>
    <w:rsid w:val="00D07165"/>
    <w:rsid w:val="00D078EC"/>
    <w:rsid w:val="00D07C50"/>
    <w:rsid w:val="00D07C7F"/>
    <w:rsid w:val="00D105A7"/>
    <w:rsid w:val="00D12D5A"/>
    <w:rsid w:val="00D136B2"/>
    <w:rsid w:val="00D144DA"/>
    <w:rsid w:val="00D15A62"/>
    <w:rsid w:val="00D15BE3"/>
    <w:rsid w:val="00D16BAC"/>
    <w:rsid w:val="00D1700B"/>
    <w:rsid w:val="00D1765C"/>
    <w:rsid w:val="00D177E5"/>
    <w:rsid w:val="00D17BB7"/>
    <w:rsid w:val="00D17C27"/>
    <w:rsid w:val="00D20679"/>
    <w:rsid w:val="00D209C8"/>
    <w:rsid w:val="00D2359B"/>
    <w:rsid w:val="00D2550A"/>
    <w:rsid w:val="00D25FDD"/>
    <w:rsid w:val="00D26A68"/>
    <w:rsid w:val="00D272AE"/>
    <w:rsid w:val="00D27852"/>
    <w:rsid w:val="00D278A5"/>
    <w:rsid w:val="00D27E85"/>
    <w:rsid w:val="00D31C10"/>
    <w:rsid w:val="00D3226A"/>
    <w:rsid w:val="00D32BC6"/>
    <w:rsid w:val="00D33C22"/>
    <w:rsid w:val="00D3426D"/>
    <w:rsid w:val="00D34594"/>
    <w:rsid w:val="00D34981"/>
    <w:rsid w:val="00D359A2"/>
    <w:rsid w:val="00D35ECF"/>
    <w:rsid w:val="00D36264"/>
    <w:rsid w:val="00D36ABA"/>
    <w:rsid w:val="00D37EB0"/>
    <w:rsid w:val="00D412DE"/>
    <w:rsid w:val="00D41A2A"/>
    <w:rsid w:val="00D41BD1"/>
    <w:rsid w:val="00D4298D"/>
    <w:rsid w:val="00D45321"/>
    <w:rsid w:val="00D463D6"/>
    <w:rsid w:val="00D50A5F"/>
    <w:rsid w:val="00D52C6C"/>
    <w:rsid w:val="00D5308E"/>
    <w:rsid w:val="00D531A0"/>
    <w:rsid w:val="00D5461F"/>
    <w:rsid w:val="00D54CEC"/>
    <w:rsid w:val="00D5515B"/>
    <w:rsid w:val="00D57230"/>
    <w:rsid w:val="00D57DCA"/>
    <w:rsid w:val="00D57F10"/>
    <w:rsid w:val="00D61FDB"/>
    <w:rsid w:val="00D625F2"/>
    <w:rsid w:val="00D63194"/>
    <w:rsid w:val="00D6361E"/>
    <w:rsid w:val="00D63B4E"/>
    <w:rsid w:val="00D6457D"/>
    <w:rsid w:val="00D64F7B"/>
    <w:rsid w:val="00D654D0"/>
    <w:rsid w:val="00D66557"/>
    <w:rsid w:val="00D667BD"/>
    <w:rsid w:val="00D675FA"/>
    <w:rsid w:val="00D70991"/>
    <w:rsid w:val="00D72A34"/>
    <w:rsid w:val="00D72D9A"/>
    <w:rsid w:val="00D74DE0"/>
    <w:rsid w:val="00D75F0B"/>
    <w:rsid w:val="00D76ACC"/>
    <w:rsid w:val="00D777DE"/>
    <w:rsid w:val="00D77E7C"/>
    <w:rsid w:val="00D8089B"/>
    <w:rsid w:val="00D8199B"/>
    <w:rsid w:val="00D81B34"/>
    <w:rsid w:val="00D81EB0"/>
    <w:rsid w:val="00D82E7F"/>
    <w:rsid w:val="00D8355C"/>
    <w:rsid w:val="00D83F73"/>
    <w:rsid w:val="00D84FC7"/>
    <w:rsid w:val="00D8640D"/>
    <w:rsid w:val="00D8704B"/>
    <w:rsid w:val="00D87A44"/>
    <w:rsid w:val="00D91FFE"/>
    <w:rsid w:val="00D92E07"/>
    <w:rsid w:val="00D93662"/>
    <w:rsid w:val="00D93788"/>
    <w:rsid w:val="00D9513B"/>
    <w:rsid w:val="00D954D0"/>
    <w:rsid w:val="00D958AB"/>
    <w:rsid w:val="00D95B3A"/>
    <w:rsid w:val="00D962A1"/>
    <w:rsid w:val="00D970D6"/>
    <w:rsid w:val="00D97710"/>
    <w:rsid w:val="00DA0273"/>
    <w:rsid w:val="00DA0CA2"/>
    <w:rsid w:val="00DA12B9"/>
    <w:rsid w:val="00DA1806"/>
    <w:rsid w:val="00DA2874"/>
    <w:rsid w:val="00DA4C06"/>
    <w:rsid w:val="00DA503D"/>
    <w:rsid w:val="00DA50E8"/>
    <w:rsid w:val="00DA659A"/>
    <w:rsid w:val="00DA6616"/>
    <w:rsid w:val="00DA6F0B"/>
    <w:rsid w:val="00DA7E56"/>
    <w:rsid w:val="00DB0031"/>
    <w:rsid w:val="00DB01C0"/>
    <w:rsid w:val="00DB2862"/>
    <w:rsid w:val="00DB2F1F"/>
    <w:rsid w:val="00DB3CF1"/>
    <w:rsid w:val="00DB5C8C"/>
    <w:rsid w:val="00DB5DA3"/>
    <w:rsid w:val="00DB69B4"/>
    <w:rsid w:val="00DB6A30"/>
    <w:rsid w:val="00DB6ED7"/>
    <w:rsid w:val="00DB7B38"/>
    <w:rsid w:val="00DC036F"/>
    <w:rsid w:val="00DC10CA"/>
    <w:rsid w:val="00DC12F2"/>
    <w:rsid w:val="00DC1650"/>
    <w:rsid w:val="00DC17F1"/>
    <w:rsid w:val="00DC1913"/>
    <w:rsid w:val="00DC20CD"/>
    <w:rsid w:val="00DC212F"/>
    <w:rsid w:val="00DC2D76"/>
    <w:rsid w:val="00DC3DEC"/>
    <w:rsid w:val="00DC3F13"/>
    <w:rsid w:val="00DC3F34"/>
    <w:rsid w:val="00DC49D0"/>
    <w:rsid w:val="00DC4B73"/>
    <w:rsid w:val="00DC4BF8"/>
    <w:rsid w:val="00DC4DB6"/>
    <w:rsid w:val="00DC58A7"/>
    <w:rsid w:val="00DC6435"/>
    <w:rsid w:val="00DC6CEC"/>
    <w:rsid w:val="00DC776C"/>
    <w:rsid w:val="00DC782A"/>
    <w:rsid w:val="00DC7B4D"/>
    <w:rsid w:val="00DD0465"/>
    <w:rsid w:val="00DD13BF"/>
    <w:rsid w:val="00DD1856"/>
    <w:rsid w:val="00DD1C6E"/>
    <w:rsid w:val="00DD2089"/>
    <w:rsid w:val="00DD2754"/>
    <w:rsid w:val="00DD2E88"/>
    <w:rsid w:val="00DD5530"/>
    <w:rsid w:val="00DD7479"/>
    <w:rsid w:val="00DD777A"/>
    <w:rsid w:val="00DD7BB9"/>
    <w:rsid w:val="00DE2B67"/>
    <w:rsid w:val="00DE3279"/>
    <w:rsid w:val="00DE34BD"/>
    <w:rsid w:val="00DE377D"/>
    <w:rsid w:val="00DE3A53"/>
    <w:rsid w:val="00DE3D64"/>
    <w:rsid w:val="00DE47CB"/>
    <w:rsid w:val="00DE5411"/>
    <w:rsid w:val="00DE555D"/>
    <w:rsid w:val="00DE670A"/>
    <w:rsid w:val="00DE6E14"/>
    <w:rsid w:val="00DE7956"/>
    <w:rsid w:val="00DF1FC6"/>
    <w:rsid w:val="00DF2660"/>
    <w:rsid w:val="00DF358F"/>
    <w:rsid w:val="00DF36B5"/>
    <w:rsid w:val="00DF3740"/>
    <w:rsid w:val="00DF5F8B"/>
    <w:rsid w:val="00DF67BB"/>
    <w:rsid w:val="00DF68C8"/>
    <w:rsid w:val="00DF6C18"/>
    <w:rsid w:val="00E00B9D"/>
    <w:rsid w:val="00E00F1F"/>
    <w:rsid w:val="00E016C4"/>
    <w:rsid w:val="00E0290C"/>
    <w:rsid w:val="00E02F90"/>
    <w:rsid w:val="00E04067"/>
    <w:rsid w:val="00E0458D"/>
    <w:rsid w:val="00E04A41"/>
    <w:rsid w:val="00E04F91"/>
    <w:rsid w:val="00E06880"/>
    <w:rsid w:val="00E06949"/>
    <w:rsid w:val="00E07BAE"/>
    <w:rsid w:val="00E105A0"/>
    <w:rsid w:val="00E10EAB"/>
    <w:rsid w:val="00E110EB"/>
    <w:rsid w:val="00E11A10"/>
    <w:rsid w:val="00E12264"/>
    <w:rsid w:val="00E13355"/>
    <w:rsid w:val="00E136E2"/>
    <w:rsid w:val="00E1526E"/>
    <w:rsid w:val="00E153E0"/>
    <w:rsid w:val="00E1623F"/>
    <w:rsid w:val="00E16886"/>
    <w:rsid w:val="00E178F6"/>
    <w:rsid w:val="00E1C8EC"/>
    <w:rsid w:val="00E20FA2"/>
    <w:rsid w:val="00E21260"/>
    <w:rsid w:val="00E218B8"/>
    <w:rsid w:val="00E218E9"/>
    <w:rsid w:val="00E22302"/>
    <w:rsid w:val="00E22350"/>
    <w:rsid w:val="00E22639"/>
    <w:rsid w:val="00E22924"/>
    <w:rsid w:val="00E22AE0"/>
    <w:rsid w:val="00E22C15"/>
    <w:rsid w:val="00E22CDC"/>
    <w:rsid w:val="00E23D40"/>
    <w:rsid w:val="00E24E80"/>
    <w:rsid w:val="00E261B3"/>
    <w:rsid w:val="00E3054C"/>
    <w:rsid w:val="00E31033"/>
    <w:rsid w:val="00E31666"/>
    <w:rsid w:val="00E32AE6"/>
    <w:rsid w:val="00E34725"/>
    <w:rsid w:val="00E35761"/>
    <w:rsid w:val="00E35EE9"/>
    <w:rsid w:val="00E36101"/>
    <w:rsid w:val="00E3630D"/>
    <w:rsid w:val="00E36F2E"/>
    <w:rsid w:val="00E37A03"/>
    <w:rsid w:val="00E37A3D"/>
    <w:rsid w:val="00E37A8E"/>
    <w:rsid w:val="00E37B7A"/>
    <w:rsid w:val="00E402F9"/>
    <w:rsid w:val="00E40AED"/>
    <w:rsid w:val="00E41905"/>
    <w:rsid w:val="00E42208"/>
    <w:rsid w:val="00E444F1"/>
    <w:rsid w:val="00E4491C"/>
    <w:rsid w:val="00E44CBA"/>
    <w:rsid w:val="00E4581B"/>
    <w:rsid w:val="00E46320"/>
    <w:rsid w:val="00E46E2F"/>
    <w:rsid w:val="00E46FCE"/>
    <w:rsid w:val="00E51105"/>
    <w:rsid w:val="00E517C8"/>
    <w:rsid w:val="00E51995"/>
    <w:rsid w:val="00E51DE2"/>
    <w:rsid w:val="00E52843"/>
    <w:rsid w:val="00E52AD7"/>
    <w:rsid w:val="00E52B82"/>
    <w:rsid w:val="00E5301F"/>
    <w:rsid w:val="00E5315F"/>
    <w:rsid w:val="00E53BC9"/>
    <w:rsid w:val="00E540B8"/>
    <w:rsid w:val="00E542F9"/>
    <w:rsid w:val="00E54449"/>
    <w:rsid w:val="00E5659B"/>
    <w:rsid w:val="00E56AA7"/>
    <w:rsid w:val="00E57785"/>
    <w:rsid w:val="00E57A24"/>
    <w:rsid w:val="00E57F3F"/>
    <w:rsid w:val="00E606EB"/>
    <w:rsid w:val="00E6095D"/>
    <w:rsid w:val="00E61835"/>
    <w:rsid w:val="00E61B67"/>
    <w:rsid w:val="00E62453"/>
    <w:rsid w:val="00E6298E"/>
    <w:rsid w:val="00E631A1"/>
    <w:rsid w:val="00E636CC"/>
    <w:rsid w:val="00E640DF"/>
    <w:rsid w:val="00E647F3"/>
    <w:rsid w:val="00E64FF4"/>
    <w:rsid w:val="00E64FFF"/>
    <w:rsid w:val="00E66870"/>
    <w:rsid w:val="00E669E3"/>
    <w:rsid w:val="00E7044E"/>
    <w:rsid w:val="00E70D05"/>
    <w:rsid w:val="00E71F63"/>
    <w:rsid w:val="00E72A4C"/>
    <w:rsid w:val="00E72C0F"/>
    <w:rsid w:val="00E72DE8"/>
    <w:rsid w:val="00E7312D"/>
    <w:rsid w:val="00E73F8E"/>
    <w:rsid w:val="00E74AE0"/>
    <w:rsid w:val="00E74CC6"/>
    <w:rsid w:val="00E7520A"/>
    <w:rsid w:val="00E75772"/>
    <w:rsid w:val="00E765EE"/>
    <w:rsid w:val="00E7787D"/>
    <w:rsid w:val="00E80BA2"/>
    <w:rsid w:val="00E8171E"/>
    <w:rsid w:val="00E81C54"/>
    <w:rsid w:val="00E82300"/>
    <w:rsid w:val="00E824E2"/>
    <w:rsid w:val="00E82572"/>
    <w:rsid w:val="00E82840"/>
    <w:rsid w:val="00E82945"/>
    <w:rsid w:val="00E83933"/>
    <w:rsid w:val="00E8489B"/>
    <w:rsid w:val="00E857E4"/>
    <w:rsid w:val="00E85F2B"/>
    <w:rsid w:val="00E8600B"/>
    <w:rsid w:val="00E87922"/>
    <w:rsid w:val="00E87CEF"/>
    <w:rsid w:val="00E90832"/>
    <w:rsid w:val="00E91392"/>
    <w:rsid w:val="00E9307D"/>
    <w:rsid w:val="00E930BC"/>
    <w:rsid w:val="00E932CB"/>
    <w:rsid w:val="00E93E63"/>
    <w:rsid w:val="00E940CF"/>
    <w:rsid w:val="00E95208"/>
    <w:rsid w:val="00E9620B"/>
    <w:rsid w:val="00E965E0"/>
    <w:rsid w:val="00E96C0F"/>
    <w:rsid w:val="00E96DA8"/>
    <w:rsid w:val="00E97649"/>
    <w:rsid w:val="00EA0C98"/>
    <w:rsid w:val="00EA1506"/>
    <w:rsid w:val="00EA1B34"/>
    <w:rsid w:val="00EA1FB5"/>
    <w:rsid w:val="00EA2497"/>
    <w:rsid w:val="00EA26B0"/>
    <w:rsid w:val="00EA2836"/>
    <w:rsid w:val="00EA29E8"/>
    <w:rsid w:val="00EA3238"/>
    <w:rsid w:val="00EA4669"/>
    <w:rsid w:val="00EA4FC1"/>
    <w:rsid w:val="00EA5FE8"/>
    <w:rsid w:val="00EA7047"/>
    <w:rsid w:val="00EA7F63"/>
    <w:rsid w:val="00EB04F3"/>
    <w:rsid w:val="00EB1AAB"/>
    <w:rsid w:val="00EB39DD"/>
    <w:rsid w:val="00EB4244"/>
    <w:rsid w:val="00EB4A2E"/>
    <w:rsid w:val="00EB4C3C"/>
    <w:rsid w:val="00EB53FB"/>
    <w:rsid w:val="00EB569A"/>
    <w:rsid w:val="00EB593B"/>
    <w:rsid w:val="00EB7AA6"/>
    <w:rsid w:val="00EC1527"/>
    <w:rsid w:val="00EC165C"/>
    <w:rsid w:val="00EC19C5"/>
    <w:rsid w:val="00EC1D7C"/>
    <w:rsid w:val="00EC26F0"/>
    <w:rsid w:val="00EC2921"/>
    <w:rsid w:val="00EC35F8"/>
    <w:rsid w:val="00EC3D50"/>
    <w:rsid w:val="00EC4470"/>
    <w:rsid w:val="00EC4924"/>
    <w:rsid w:val="00EC4E73"/>
    <w:rsid w:val="00EC55D9"/>
    <w:rsid w:val="00EC5D63"/>
    <w:rsid w:val="00EC617C"/>
    <w:rsid w:val="00EC6BA9"/>
    <w:rsid w:val="00EC6E66"/>
    <w:rsid w:val="00EC731B"/>
    <w:rsid w:val="00EC7779"/>
    <w:rsid w:val="00ED1414"/>
    <w:rsid w:val="00ED2789"/>
    <w:rsid w:val="00ED3716"/>
    <w:rsid w:val="00ED3C78"/>
    <w:rsid w:val="00ED3E6E"/>
    <w:rsid w:val="00ED421C"/>
    <w:rsid w:val="00ED517A"/>
    <w:rsid w:val="00ED67A1"/>
    <w:rsid w:val="00ED69E2"/>
    <w:rsid w:val="00ED7557"/>
    <w:rsid w:val="00ED78CF"/>
    <w:rsid w:val="00ED7F99"/>
    <w:rsid w:val="00EE0DD2"/>
    <w:rsid w:val="00EE0F8C"/>
    <w:rsid w:val="00EE19C4"/>
    <w:rsid w:val="00EE26FF"/>
    <w:rsid w:val="00EE44D7"/>
    <w:rsid w:val="00EE4B47"/>
    <w:rsid w:val="00EE5264"/>
    <w:rsid w:val="00EF0346"/>
    <w:rsid w:val="00EF212F"/>
    <w:rsid w:val="00EF3007"/>
    <w:rsid w:val="00EF31F7"/>
    <w:rsid w:val="00EF3E0C"/>
    <w:rsid w:val="00EF4789"/>
    <w:rsid w:val="00EF4BC8"/>
    <w:rsid w:val="00EF5CA6"/>
    <w:rsid w:val="00EF6C6E"/>
    <w:rsid w:val="00EF6D44"/>
    <w:rsid w:val="00EF7CFE"/>
    <w:rsid w:val="00EF7F80"/>
    <w:rsid w:val="00F00D6E"/>
    <w:rsid w:val="00F01446"/>
    <w:rsid w:val="00F01724"/>
    <w:rsid w:val="00F018F4"/>
    <w:rsid w:val="00F01969"/>
    <w:rsid w:val="00F021FD"/>
    <w:rsid w:val="00F023BC"/>
    <w:rsid w:val="00F026A8"/>
    <w:rsid w:val="00F02EED"/>
    <w:rsid w:val="00F02FC6"/>
    <w:rsid w:val="00F033F5"/>
    <w:rsid w:val="00F0426C"/>
    <w:rsid w:val="00F044A5"/>
    <w:rsid w:val="00F04592"/>
    <w:rsid w:val="00F04DBC"/>
    <w:rsid w:val="00F05AE6"/>
    <w:rsid w:val="00F06DB2"/>
    <w:rsid w:val="00F07312"/>
    <w:rsid w:val="00F07926"/>
    <w:rsid w:val="00F108D3"/>
    <w:rsid w:val="00F11640"/>
    <w:rsid w:val="00F11AF7"/>
    <w:rsid w:val="00F11F75"/>
    <w:rsid w:val="00F1391F"/>
    <w:rsid w:val="00F1446A"/>
    <w:rsid w:val="00F1480D"/>
    <w:rsid w:val="00F14C6F"/>
    <w:rsid w:val="00F1618B"/>
    <w:rsid w:val="00F16244"/>
    <w:rsid w:val="00F20FCD"/>
    <w:rsid w:val="00F21EC9"/>
    <w:rsid w:val="00F23754"/>
    <w:rsid w:val="00F240C9"/>
    <w:rsid w:val="00F25898"/>
    <w:rsid w:val="00F25ADE"/>
    <w:rsid w:val="00F25C25"/>
    <w:rsid w:val="00F27A25"/>
    <w:rsid w:val="00F30F58"/>
    <w:rsid w:val="00F31059"/>
    <w:rsid w:val="00F319BB"/>
    <w:rsid w:val="00F32579"/>
    <w:rsid w:val="00F328DD"/>
    <w:rsid w:val="00F3341C"/>
    <w:rsid w:val="00F339BE"/>
    <w:rsid w:val="00F34E50"/>
    <w:rsid w:val="00F35220"/>
    <w:rsid w:val="00F3653F"/>
    <w:rsid w:val="00F3669D"/>
    <w:rsid w:val="00F36BA2"/>
    <w:rsid w:val="00F36DC3"/>
    <w:rsid w:val="00F3787C"/>
    <w:rsid w:val="00F4036E"/>
    <w:rsid w:val="00F405E3"/>
    <w:rsid w:val="00F4331B"/>
    <w:rsid w:val="00F4509D"/>
    <w:rsid w:val="00F454C3"/>
    <w:rsid w:val="00F45616"/>
    <w:rsid w:val="00F4606B"/>
    <w:rsid w:val="00F46462"/>
    <w:rsid w:val="00F46762"/>
    <w:rsid w:val="00F47BB7"/>
    <w:rsid w:val="00F47FA1"/>
    <w:rsid w:val="00F5094C"/>
    <w:rsid w:val="00F518AB"/>
    <w:rsid w:val="00F52739"/>
    <w:rsid w:val="00F53E41"/>
    <w:rsid w:val="00F54BFF"/>
    <w:rsid w:val="00F5526D"/>
    <w:rsid w:val="00F5595F"/>
    <w:rsid w:val="00F55B80"/>
    <w:rsid w:val="00F560B4"/>
    <w:rsid w:val="00F561FC"/>
    <w:rsid w:val="00F56D06"/>
    <w:rsid w:val="00F60620"/>
    <w:rsid w:val="00F60F17"/>
    <w:rsid w:val="00F6107E"/>
    <w:rsid w:val="00F6292C"/>
    <w:rsid w:val="00F64248"/>
    <w:rsid w:val="00F64B8D"/>
    <w:rsid w:val="00F64D5C"/>
    <w:rsid w:val="00F651B8"/>
    <w:rsid w:val="00F66BF2"/>
    <w:rsid w:val="00F66C76"/>
    <w:rsid w:val="00F66F6E"/>
    <w:rsid w:val="00F67A26"/>
    <w:rsid w:val="00F704DA"/>
    <w:rsid w:val="00F70E22"/>
    <w:rsid w:val="00F71100"/>
    <w:rsid w:val="00F712A0"/>
    <w:rsid w:val="00F715D7"/>
    <w:rsid w:val="00F71ABD"/>
    <w:rsid w:val="00F71E29"/>
    <w:rsid w:val="00F72164"/>
    <w:rsid w:val="00F73269"/>
    <w:rsid w:val="00F73920"/>
    <w:rsid w:val="00F73967"/>
    <w:rsid w:val="00F741A4"/>
    <w:rsid w:val="00F7453D"/>
    <w:rsid w:val="00F74719"/>
    <w:rsid w:val="00F75C10"/>
    <w:rsid w:val="00F76AD4"/>
    <w:rsid w:val="00F8023A"/>
    <w:rsid w:val="00F81E43"/>
    <w:rsid w:val="00F82009"/>
    <w:rsid w:val="00F8244B"/>
    <w:rsid w:val="00F82C57"/>
    <w:rsid w:val="00F82DE7"/>
    <w:rsid w:val="00F83F1E"/>
    <w:rsid w:val="00F84BFD"/>
    <w:rsid w:val="00F8522B"/>
    <w:rsid w:val="00F861B8"/>
    <w:rsid w:val="00F8680D"/>
    <w:rsid w:val="00F8765A"/>
    <w:rsid w:val="00F87B5C"/>
    <w:rsid w:val="00F9172E"/>
    <w:rsid w:val="00F91A32"/>
    <w:rsid w:val="00F91A70"/>
    <w:rsid w:val="00F933CD"/>
    <w:rsid w:val="00F94EF8"/>
    <w:rsid w:val="00F95DD7"/>
    <w:rsid w:val="00F96122"/>
    <w:rsid w:val="00F9630F"/>
    <w:rsid w:val="00F966A0"/>
    <w:rsid w:val="00F967BA"/>
    <w:rsid w:val="00F979A1"/>
    <w:rsid w:val="00FA0B1E"/>
    <w:rsid w:val="00FA118D"/>
    <w:rsid w:val="00FA126D"/>
    <w:rsid w:val="00FA1606"/>
    <w:rsid w:val="00FA186C"/>
    <w:rsid w:val="00FA1A86"/>
    <w:rsid w:val="00FA20E2"/>
    <w:rsid w:val="00FA2F0D"/>
    <w:rsid w:val="00FA31ED"/>
    <w:rsid w:val="00FA32F8"/>
    <w:rsid w:val="00FA3BE3"/>
    <w:rsid w:val="00FA473F"/>
    <w:rsid w:val="00FA6E5F"/>
    <w:rsid w:val="00FA7954"/>
    <w:rsid w:val="00FB03E8"/>
    <w:rsid w:val="00FB0B24"/>
    <w:rsid w:val="00FB142E"/>
    <w:rsid w:val="00FB44A7"/>
    <w:rsid w:val="00FB4550"/>
    <w:rsid w:val="00FB4675"/>
    <w:rsid w:val="00FB5201"/>
    <w:rsid w:val="00FB53E5"/>
    <w:rsid w:val="00FB6A52"/>
    <w:rsid w:val="00FB7270"/>
    <w:rsid w:val="00FB74A6"/>
    <w:rsid w:val="00FC08E3"/>
    <w:rsid w:val="00FC0C3D"/>
    <w:rsid w:val="00FC0E63"/>
    <w:rsid w:val="00FC166F"/>
    <w:rsid w:val="00FC1ABD"/>
    <w:rsid w:val="00FC36D6"/>
    <w:rsid w:val="00FC4716"/>
    <w:rsid w:val="00FC4793"/>
    <w:rsid w:val="00FC5047"/>
    <w:rsid w:val="00FC5BA2"/>
    <w:rsid w:val="00FC62C8"/>
    <w:rsid w:val="00FC6745"/>
    <w:rsid w:val="00FC7039"/>
    <w:rsid w:val="00FD0A5A"/>
    <w:rsid w:val="00FD0BD8"/>
    <w:rsid w:val="00FD27F6"/>
    <w:rsid w:val="00FD3148"/>
    <w:rsid w:val="00FD3F44"/>
    <w:rsid w:val="00FD42FD"/>
    <w:rsid w:val="00FD452E"/>
    <w:rsid w:val="00FD464C"/>
    <w:rsid w:val="00FD4913"/>
    <w:rsid w:val="00FD5514"/>
    <w:rsid w:val="00FD55D1"/>
    <w:rsid w:val="00FD5A5C"/>
    <w:rsid w:val="00FD5FDC"/>
    <w:rsid w:val="00FD7177"/>
    <w:rsid w:val="00FD7964"/>
    <w:rsid w:val="00FD7D32"/>
    <w:rsid w:val="00FD7F9C"/>
    <w:rsid w:val="00FD7FE1"/>
    <w:rsid w:val="00FE1BDF"/>
    <w:rsid w:val="00FE3C0D"/>
    <w:rsid w:val="00FE4E1E"/>
    <w:rsid w:val="00FE76CB"/>
    <w:rsid w:val="00FE7B87"/>
    <w:rsid w:val="00FF0404"/>
    <w:rsid w:val="00FF12FF"/>
    <w:rsid w:val="00FF16FD"/>
    <w:rsid w:val="00FF2741"/>
    <w:rsid w:val="00FF31D0"/>
    <w:rsid w:val="00FF32A9"/>
    <w:rsid w:val="00FF366F"/>
    <w:rsid w:val="00FF4024"/>
    <w:rsid w:val="00FF4CF4"/>
    <w:rsid w:val="00FF59F5"/>
    <w:rsid w:val="00FF6D06"/>
    <w:rsid w:val="00FF73BF"/>
    <w:rsid w:val="00FF7836"/>
    <w:rsid w:val="01DD0D6E"/>
    <w:rsid w:val="02292774"/>
    <w:rsid w:val="0288443D"/>
    <w:rsid w:val="02C42B5A"/>
    <w:rsid w:val="03DC37E2"/>
    <w:rsid w:val="048E25CF"/>
    <w:rsid w:val="0491FA04"/>
    <w:rsid w:val="04D1D141"/>
    <w:rsid w:val="04E5705A"/>
    <w:rsid w:val="04FBD6F5"/>
    <w:rsid w:val="050C10B7"/>
    <w:rsid w:val="064548A0"/>
    <w:rsid w:val="06B2CC30"/>
    <w:rsid w:val="06C53EDF"/>
    <w:rsid w:val="06D9AAE5"/>
    <w:rsid w:val="07A76A4E"/>
    <w:rsid w:val="0810AC68"/>
    <w:rsid w:val="08C103A9"/>
    <w:rsid w:val="08EFF46A"/>
    <w:rsid w:val="091EBAE6"/>
    <w:rsid w:val="09551C0F"/>
    <w:rsid w:val="09920BF9"/>
    <w:rsid w:val="0A381AEC"/>
    <w:rsid w:val="0ABAD47C"/>
    <w:rsid w:val="0B025675"/>
    <w:rsid w:val="0C666B67"/>
    <w:rsid w:val="0C6CC3ED"/>
    <w:rsid w:val="0C900ECA"/>
    <w:rsid w:val="0C925646"/>
    <w:rsid w:val="0CA62107"/>
    <w:rsid w:val="0CF9C9F5"/>
    <w:rsid w:val="0D326E07"/>
    <w:rsid w:val="0DA8AE70"/>
    <w:rsid w:val="0E407355"/>
    <w:rsid w:val="0E455E8D"/>
    <w:rsid w:val="0E5D4672"/>
    <w:rsid w:val="0E64005D"/>
    <w:rsid w:val="0EA2CC72"/>
    <w:rsid w:val="0F004479"/>
    <w:rsid w:val="0F8E8444"/>
    <w:rsid w:val="0FC9CD8A"/>
    <w:rsid w:val="10218C61"/>
    <w:rsid w:val="1172FA1A"/>
    <w:rsid w:val="11C41FB8"/>
    <w:rsid w:val="11E7B967"/>
    <w:rsid w:val="12391BE3"/>
    <w:rsid w:val="12624813"/>
    <w:rsid w:val="13C80186"/>
    <w:rsid w:val="14C153D4"/>
    <w:rsid w:val="153C9F7F"/>
    <w:rsid w:val="156850BC"/>
    <w:rsid w:val="160D368D"/>
    <w:rsid w:val="161D765E"/>
    <w:rsid w:val="1653F234"/>
    <w:rsid w:val="16895B1F"/>
    <w:rsid w:val="16959385"/>
    <w:rsid w:val="17D76F28"/>
    <w:rsid w:val="17E4D64B"/>
    <w:rsid w:val="18807E2A"/>
    <w:rsid w:val="189BBCEB"/>
    <w:rsid w:val="18B40141"/>
    <w:rsid w:val="18D6BBA7"/>
    <w:rsid w:val="18EF60E5"/>
    <w:rsid w:val="18F53CEB"/>
    <w:rsid w:val="196783AA"/>
    <w:rsid w:val="198DCDA7"/>
    <w:rsid w:val="19F69968"/>
    <w:rsid w:val="1A2C8377"/>
    <w:rsid w:val="1A49D5EA"/>
    <w:rsid w:val="1A552DCE"/>
    <w:rsid w:val="1AD16AE0"/>
    <w:rsid w:val="1B9E73F4"/>
    <w:rsid w:val="1BDA78E4"/>
    <w:rsid w:val="1C10E9CC"/>
    <w:rsid w:val="1C115CD1"/>
    <w:rsid w:val="1C2977BB"/>
    <w:rsid w:val="1C99CBF7"/>
    <w:rsid w:val="1CBDD656"/>
    <w:rsid w:val="1F2E2F16"/>
    <w:rsid w:val="200DC2C8"/>
    <w:rsid w:val="2107469C"/>
    <w:rsid w:val="215A05AD"/>
    <w:rsid w:val="21AC6886"/>
    <w:rsid w:val="21C18B18"/>
    <w:rsid w:val="21D459A8"/>
    <w:rsid w:val="2229EF62"/>
    <w:rsid w:val="2258E59F"/>
    <w:rsid w:val="22C1D00E"/>
    <w:rsid w:val="23081C5E"/>
    <w:rsid w:val="2395C02D"/>
    <w:rsid w:val="241F17EB"/>
    <w:rsid w:val="24E4E373"/>
    <w:rsid w:val="25FFA30E"/>
    <w:rsid w:val="26B49253"/>
    <w:rsid w:val="26E793FD"/>
    <w:rsid w:val="273EF096"/>
    <w:rsid w:val="275B33F1"/>
    <w:rsid w:val="2780FA42"/>
    <w:rsid w:val="284A28D8"/>
    <w:rsid w:val="28BEC18A"/>
    <w:rsid w:val="29ABB9F2"/>
    <w:rsid w:val="29EAF09B"/>
    <w:rsid w:val="2A269521"/>
    <w:rsid w:val="2A39A5CD"/>
    <w:rsid w:val="2A8AA120"/>
    <w:rsid w:val="2AB3BCD8"/>
    <w:rsid w:val="2ADAC884"/>
    <w:rsid w:val="2AFDE3D6"/>
    <w:rsid w:val="2AFED113"/>
    <w:rsid w:val="2B90DD41"/>
    <w:rsid w:val="2BB5A9BA"/>
    <w:rsid w:val="2C976A0B"/>
    <w:rsid w:val="2D9FB2B2"/>
    <w:rsid w:val="2DBCF4E4"/>
    <w:rsid w:val="2E0E62B0"/>
    <w:rsid w:val="2E2A4F0F"/>
    <w:rsid w:val="2EE03693"/>
    <w:rsid w:val="2FB33B05"/>
    <w:rsid w:val="2FE9E29D"/>
    <w:rsid w:val="31A17365"/>
    <w:rsid w:val="31A5F1BB"/>
    <w:rsid w:val="31BCCFD1"/>
    <w:rsid w:val="32100FDB"/>
    <w:rsid w:val="3297FFF5"/>
    <w:rsid w:val="3335D276"/>
    <w:rsid w:val="3358EDA4"/>
    <w:rsid w:val="339DD1FA"/>
    <w:rsid w:val="34004E41"/>
    <w:rsid w:val="346CE59A"/>
    <w:rsid w:val="34DF8388"/>
    <w:rsid w:val="357E26C7"/>
    <w:rsid w:val="357F75EE"/>
    <w:rsid w:val="362A18EC"/>
    <w:rsid w:val="36DF7622"/>
    <w:rsid w:val="36F639B7"/>
    <w:rsid w:val="37016713"/>
    <w:rsid w:val="37B6F0A6"/>
    <w:rsid w:val="37D334A1"/>
    <w:rsid w:val="382593C4"/>
    <w:rsid w:val="397B438B"/>
    <w:rsid w:val="3AC862C3"/>
    <w:rsid w:val="3B2652BC"/>
    <w:rsid w:val="3BC7258F"/>
    <w:rsid w:val="3C3DA736"/>
    <w:rsid w:val="3CD461ED"/>
    <w:rsid w:val="3CE1AB4B"/>
    <w:rsid w:val="3D46DFC7"/>
    <w:rsid w:val="3E5113D5"/>
    <w:rsid w:val="3E82FA93"/>
    <w:rsid w:val="3EA9DDDE"/>
    <w:rsid w:val="3F9892B9"/>
    <w:rsid w:val="3F9BEC46"/>
    <w:rsid w:val="401A69FB"/>
    <w:rsid w:val="4024829E"/>
    <w:rsid w:val="405CF32F"/>
    <w:rsid w:val="406AA6DA"/>
    <w:rsid w:val="40C5B6C4"/>
    <w:rsid w:val="40DD229B"/>
    <w:rsid w:val="40F0B3E0"/>
    <w:rsid w:val="42CFF98A"/>
    <w:rsid w:val="4363C0EF"/>
    <w:rsid w:val="43C8742A"/>
    <w:rsid w:val="44A7FD29"/>
    <w:rsid w:val="45144B86"/>
    <w:rsid w:val="451EFDAC"/>
    <w:rsid w:val="453ED7DB"/>
    <w:rsid w:val="455558E7"/>
    <w:rsid w:val="457ABC28"/>
    <w:rsid w:val="45BB7C8F"/>
    <w:rsid w:val="45F47D00"/>
    <w:rsid w:val="45FA4B94"/>
    <w:rsid w:val="463C2FEE"/>
    <w:rsid w:val="46F474E5"/>
    <w:rsid w:val="474BDA3C"/>
    <w:rsid w:val="475C2764"/>
    <w:rsid w:val="47B5759B"/>
    <w:rsid w:val="47B5BFB7"/>
    <w:rsid w:val="48026D8F"/>
    <w:rsid w:val="4819166D"/>
    <w:rsid w:val="488B3A42"/>
    <w:rsid w:val="48A66A1E"/>
    <w:rsid w:val="494C9671"/>
    <w:rsid w:val="499E5059"/>
    <w:rsid w:val="49F8B422"/>
    <w:rsid w:val="4B68DF10"/>
    <w:rsid w:val="4D2356D9"/>
    <w:rsid w:val="4D845629"/>
    <w:rsid w:val="4D97A038"/>
    <w:rsid w:val="4DC46FA5"/>
    <w:rsid w:val="4E402E00"/>
    <w:rsid w:val="4E4FA285"/>
    <w:rsid w:val="4E65D9E1"/>
    <w:rsid w:val="4F14328D"/>
    <w:rsid w:val="4F4884F0"/>
    <w:rsid w:val="4F90EF51"/>
    <w:rsid w:val="5001C664"/>
    <w:rsid w:val="505D7469"/>
    <w:rsid w:val="5064A3A7"/>
    <w:rsid w:val="50C1B992"/>
    <w:rsid w:val="51282D64"/>
    <w:rsid w:val="51D91659"/>
    <w:rsid w:val="52136003"/>
    <w:rsid w:val="52562FE1"/>
    <w:rsid w:val="52E4BCA7"/>
    <w:rsid w:val="53B079A7"/>
    <w:rsid w:val="53E5177D"/>
    <w:rsid w:val="53E64BF5"/>
    <w:rsid w:val="54A0E877"/>
    <w:rsid w:val="54D9AF81"/>
    <w:rsid w:val="551161FC"/>
    <w:rsid w:val="5583FCD3"/>
    <w:rsid w:val="5594353B"/>
    <w:rsid w:val="55B1D1A5"/>
    <w:rsid w:val="55C46CEF"/>
    <w:rsid w:val="5604828C"/>
    <w:rsid w:val="5681F1C5"/>
    <w:rsid w:val="568D1598"/>
    <w:rsid w:val="5747DF3C"/>
    <w:rsid w:val="5766624A"/>
    <w:rsid w:val="58263E59"/>
    <w:rsid w:val="5898C235"/>
    <w:rsid w:val="589E918B"/>
    <w:rsid w:val="58BC3A0D"/>
    <w:rsid w:val="58C00F78"/>
    <w:rsid w:val="58DAE898"/>
    <w:rsid w:val="5957A8EB"/>
    <w:rsid w:val="59D45699"/>
    <w:rsid w:val="59E06052"/>
    <w:rsid w:val="5A386BEF"/>
    <w:rsid w:val="5AECBD3A"/>
    <w:rsid w:val="5B8004D2"/>
    <w:rsid w:val="5B803A57"/>
    <w:rsid w:val="5C5AB803"/>
    <w:rsid w:val="5CF461A2"/>
    <w:rsid w:val="5D4E3419"/>
    <w:rsid w:val="5D60A6A0"/>
    <w:rsid w:val="5D7BD248"/>
    <w:rsid w:val="5D838C02"/>
    <w:rsid w:val="5E288802"/>
    <w:rsid w:val="5E6DC263"/>
    <w:rsid w:val="5E859B4B"/>
    <w:rsid w:val="5ED4A359"/>
    <w:rsid w:val="6059B821"/>
    <w:rsid w:val="609AEE15"/>
    <w:rsid w:val="618A4A0C"/>
    <w:rsid w:val="61C730D8"/>
    <w:rsid w:val="61DC9AFA"/>
    <w:rsid w:val="62AFCA29"/>
    <w:rsid w:val="62F87467"/>
    <w:rsid w:val="63067E0D"/>
    <w:rsid w:val="630CCE7F"/>
    <w:rsid w:val="644F8278"/>
    <w:rsid w:val="64849388"/>
    <w:rsid w:val="65DEAE97"/>
    <w:rsid w:val="6631912C"/>
    <w:rsid w:val="664B878F"/>
    <w:rsid w:val="665A257B"/>
    <w:rsid w:val="66EC9AD4"/>
    <w:rsid w:val="6762A908"/>
    <w:rsid w:val="67ED2978"/>
    <w:rsid w:val="680C972A"/>
    <w:rsid w:val="6849C4AB"/>
    <w:rsid w:val="687AA3C4"/>
    <w:rsid w:val="68DA643C"/>
    <w:rsid w:val="69FDFB50"/>
    <w:rsid w:val="6B8A2CAB"/>
    <w:rsid w:val="6BC7DF1E"/>
    <w:rsid w:val="6C4E6DCC"/>
    <w:rsid w:val="6C638645"/>
    <w:rsid w:val="6CAE02E9"/>
    <w:rsid w:val="6DF6DF90"/>
    <w:rsid w:val="6E012CFB"/>
    <w:rsid w:val="6EF7186A"/>
    <w:rsid w:val="7035C874"/>
    <w:rsid w:val="70B311D7"/>
    <w:rsid w:val="71E16D31"/>
    <w:rsid w:val="7244BBA3"/>
    <w:rsid w:val="727C5A05"/>
    <w:rsid w:val="72A30A9B"/>
    <w:rsid w:val="72FEADAA"/>
    <w:rsid w:val="734ADD18"/>
    <w:rsid w:val="735BD7B8"/>
    <w:rsid w:val="73A1C407"/>
    <w:rsid w:val="74E1A7F8"/>
    <w:rsid w:val="751F7FBE"/>
    <w:rsid w:val="75945381"/>
    <w:rsid w:val="76B4474F"/>
    <w:rsid w:val="7737831A"/>
    <w:rsid w:val="776080B6"/>
    <w:rsid w:val="7773A883"/>
    <w:rsid w:val="77C75108"/>
    <w:rsid w:val="77DE9F4D"/>
    <w:rsid w:val="77E4AE0B"/>
    <w:rsid w:val="77F5C366"/>
    <w:rsid w:val="78720BAA"/>
    <w:rsid w:val="78AB8409"/>
    <w:rsid w:val="78E848FE"/>
    <w:rsid w:val="79CE6F53"/>
    <w:rsid w:val="7B4DFB2D"/>
    <w:rsid w:val="7B82C12A"/>
    <w:rsid w:val="7BDCC3E8"/>
    <w:rsid w:val="7BDD906B"/>
    <w:rsid w:val="7BFE234E"/>
    <w:rsid w:val="7C8C8F60"/>
    <w:rsid w:val="7D5BB69D"/>
    <w:rsid w:val="7DE4592B"/>
    <w:rsid w:val="7EAC27B1"/>
    <w:rsid w:val="7F9E93CD"/>
    <w:rsid w:val="7FE649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E9C5E"/>
  <w15:chartTrackingRefBased/>
  <w15:docId w15:val="{23ECAEAA-65A3-4015-8F1C-B5581439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C98"/>
    <w:pPr>
      <w:spacing w:after="0" w:line="240" w:lineRule="auto"/>
    </w:pPr>
  </w:style>
  <w:style w:type="paragraph" w:styleId="Heading1">
    <w:name w:val="heading 1"/>
    <w:basedOn w:val="Normal"/>
    <w:next w:val="BodyText"/>
    <w:link w:val="Heading1Char"/>
    <w:uiPriority w:val="9"/>
    <w:qFormat/>
    <w:rsid w:val="00AF0906"/>
    <w:pPr>
      <w:keepNext/>
      <w:tabs>
        <w:tab w:val="left" w:pos="284"/>
      </w:tabs>
      <w:spacing w:before="600" w:after="400"/>
      <w:outlineLvl w:val="0"/>
    </w:pPr>
    <w:rPr>
      <w:rFonts w:ascii="Arial" w:eastAsia="Times New Roman" w:hAnsi="Arial" w:cs="Times New Roman"/>
      <w:caps/>
      <w:color w:val="00426F"/>
      <w:kern w:val="28"/>
      <w:sz w:val="40"/>
      <w:szCs w:val="36"/>
    </w:rPr>
  </w:style>
  <w:style w:type="paragraph" w:styleId="Heading2">
    <w:name w:val="heading 2"/>
    <w:basedOn w:val="Normal"/>
    <w:next w:val="BodyText"/>
    <w:link w:val="Heading2Char"/>
    <w:qFormat/>
    <w:rsid w:val="0067764C"/>
    <w:pPr>
      <w:keepNext/>
      <w:widowControl w:val="0"/>
      <w:numPr>
        <w:numId w:val="15"/>
      </w:numPr>
      <w:pBdr>
        <w:bottom w:val="single" w:sz="4" w:space="4" w:color="53C8E9"/>
      </w:pBdr>
      <w:spacing w:before="240" w:after="100"/>
      <w:ind w:left="360"/>
      <w:outlineLvl w:val="1"/>
    </w:pPr>
    <w:rPr>
      <w:rFonts w:ascii="Arial Bold" w:eastAsia="Times New Roman" w:hAnsi="Arial Bold" w:cs="Times New Roman"/>
      <w:b/>
      <w:color w:val="53C8E9"/>
      <w:kern w:val="28"/>
      <w:sz w:val="28"/>
      <w:szCs w:val="36"/>
    </w:rPr>
  </w:style>
  <w:style w:type="paragraph" w:styleId="Heading3">
    <w:name w:val="heading 3"/>
    <w:basedOn w:val="Heading2"/>
    <w:next w:val="BodyText"/>
    <w:link w:val="Heading3Char"/>
    <w:qFormat/>
    <w:rsid w:val="0067764C"/>
    <w:pPr>
      <w:numPr>
        <w:numId w:val="0"/>
      </w:numPr>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98678E"/>
    <w:pPr>
      <w:outlineLvl w:val="3"/>
    </w:pPr>
    <w:rPr>
      <w:color w:val="00426F"/>
      <w:sz w:val="25"/>
    </w:rPr>
  </w:style>
  <w:style w:type="paragraph" w:styleId="Heading5">
    <w:name w:val="heading 5"/>
    <w:basedOn w:val="Heading4"/>
    <w:next w:val="BodyText"/>
    <w:link w:val="Heading5Char"/>
    <w:qFormat/>
    <w:rsid w:val="0067764C"/>
    <w:pPr>
      <w:spacing w:after="60" w:line="320" w:lineRule="exact"/>
      <w:outlineLvl w:val="4"/>
    </w:pPr>
    <w:rPr>
      <w:b w:val="0"/>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0906"/>
    <w:rPr>
      <w:rFonts w:ascii="Arial" w:eastAsia="Times New Roman" w:hAnsi="Arial" w:cs="Times New Roman"/>
      <w:caps/>
      <w:color w:val="00426F"/>
      <w:kern w:val="28"/>
      <w:sz w:val="40"/>
      <w:szCs w:val="36"/>
    </w:rPr>
  </w:style>
  <w:style w:type="character" w:customStyle="1" w:styleId="Heading2Char">
    <w:name w:val="Heading 2 Char"/>
    <w:link w:val="Heading2"/>
    <w:rsid w:val="0067764C"/>
    <w:rPr>
      <w:rFonts w:ascii="Arial Bold" w:eastAsia="Times New Roman" w:hAnsi="Arial Bold" w:cs="Times New Roman"/>
      <w:b/>
      <w:color w:val="53C8E9"/>
      <w:kern w:val="28"/>
      <w:sz w:val="28"/>
      <w:szCs w:val="36"/>
    </w:rPr>
  </w:style>
  <w:style w:type="character" w:customStyle="1" w:styleId="Heading3Char">
    <w:name w:val="Heading 3 Char"/>
    <w:link w:val="Heading3"/>
    <w:rsid w:val="0067764C"/>
    <w:rPr>
      <w:rFonts w:ascii="Arial Bold" w:eastAsia="Times New Roman" w:hAnsi="Arial Bold" w:cs="Times New Roman"/>
      <w:b/>
      <w:kern w:val="28"/>
      <w:sz w:val="26"/>
      <w:szCs w:val="36"/>
    </w:rPr>
  </w:style>
  <w:style w:type="paragraph" w:styleId="BodyText">
    <w:name w:val="Body Text"/>
    <w:link w:val="BodyTextChar"/>
    <w:autoRedefine/>
    <w:rsid w:val="00F01446"/>
    <w:pPr>
      <w:spacing w:after="100" w:line="240" w:lineRule="auto"/>
    </w:pPr>
    <w:rPr>
      <w:rFonts w:ascii="Arial" w:hAnsi="Arial" w:cs="Arial"/>
      <w:bCs/>
      <w:sz w:val="23"/>
      <w:szCs w:val="20"/>
    </w:rPr>
  </w:style>
  <w:style w:type="character" w:customStyle="1" w:styleId="BodyTextChar">
    <w:name w:val="Body Text Char"/>
    <w:basedOn w:val="DefaultParagraphFont"/>
    <w:link w:val="BodyText"/>
    <w:rsid w:val="00F01446"/>
    <w:rPr>
      <w:rFonts w:ascii="Arial" w:hAnsi="Arial" w:cs="Arial"/>
      <w:bCs/>
      <w:sz w:val="23"/>
      <w:szCs w:val="20"/>
    </w:rPr>
  </w:style>
  <w:style w:type="paragraph" w:customStyle="1" w:styleId="Bullet1">
    <w:name w:val="Bullet 1"/>
    <w:basedOn w:val="BodyText"/>
    <w:link w:val="Bullet1Char"/>
    <w:autoRedefine/>
    <w:qFormat/>
    <w:rsid w:val="00767115"/>
    <w:pPr>
      <w:numPr>
        <w:numId w:val="11"/>
      </w:numPr>
      <w:spacing w:before="120" w:after="80"/>
    </w:pPr>
    <w:rPr>
      <w:rFonts w:eastAsia="Times New Roman"/>
    </w:rPr>
  </w:style>
  <w:style w:type="character" w:customStyle="1" w:styleId="Bullet1Char">
    <w:name w:val="Bullet 1 Char"/>
    <w:link w:val="Bullet1"/>
    <w:rsid w:val="00273078"/>
    <w:rPr>
      <w:rFonts w:ascii="Arial" w:eastAsia="Times New Roman" w:hAnsi="Arial" w:cs="Arial"/>
      <w:bCs/>
      <w:sz w:val="23"/>
      <w:szCs w:val="20"/>
    </w:rPr>
  </w:style>
  <w:style w:type="paragraph" w:customStyle="1" w:styleId="Bullet2">
    <w:name w:val="Bullet 2"/>
    <w:basedOn w:val="Bullet1"/>
    <w:rsid w:val="0067764C"/>
    <w:pPr>
      <w:numPr>
        <w:numId w:val="12"/>
      </w:numPr>
      <w:tabs>
        <w:tab w:val="clear" w:pos="785"/>
        <w:tab w:val="left" w:pos="851"/>
      </w:tabs>
      <w:spacing w:line="240" w:lineRule="atLeast"/>
    </w:pPr>
    <w:rPr>
      <w:bCs w:val="0"/>
    </w:rPr>
  </w:style>
  <w:style w:type="paragraph" w:customStyle="1" w:styleId="Chart4X">
    <w:name w:val="Chart 4.X"/>
    <w:basedOn w:val="Normal"/>
    <w:next w:val="Normal"/>
    <w:rsid w:val="00693D94"/>
    <w:pPr>
      <w:keepLines/>
      <w:widowControl w:val="0"/>
      <w:numPr>
        <w:numId w:val="1"/>
      </w:numPr>
      <w:tabs>
        <w:tab w:val="left" w:pos="1134"/>
        <w:tab w:val="left" w:pos="1304"/>
      </w:tabs>
      <w:spacing w:before="360" w:after="120"/>
    </w:pPr>
    <w:rPr>
      <w:rFonts w:ascii="Arial" w:eastAsia="Times New Roman" w:hAnsi="Arial" w:cs="Times New Roman"/>
      <w:bCs/>
      <w:i/>
      <w:color w:val="4F4F4F"/>
      <w:kern w:val="28"/>
    </w:rPr>
  </w:style>
  <w:style w:type="character" w:styleId="CommentReference">
    <w:name w:val="annotation reference"/>
    <w:uiPriority w:val="99"/>
    <w:unhideWhenUsed/>
    <w:rsid w:val="00693D94"/>
    <w:rPr>
      <w:sz w:val="16"/>
      <w:szCs w:val="16"/>
    </w:rPr>
  </w:style>
  <w:style w:type="paragraph" w:styleId="CommentText">
    <w:name w:val="annotation text"/>
    <w:basedOn w:val="Normal"/>
    <w:link w:val="CommentTextChar"/>
    <w:uiPriority w:val="99"/>
    <w:unhideWhenUsed/>
    <w:rsid w:val="00693D9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93D94"/>
    <w:rPr>
      <w:rFonts w:ascii="Times New Roman" w:eastAsia="Times New Roman" w:hAnsi="Times New Roman" w:cs="Times New Roman"/>
      <w:sz w:val="20"/>
      <w:szCs w:val="20"/>
    </w:rPr>
  </w:style>
  <w:style w:type="paragraph" w:styleId="Footer">
    <w:name w:val="footer"/>
    <w:basedOn w:val="Normal"/>
    <w:link w:val="FooterChar"/>
    <w:uiPriority w:val="99"/>
    <w:rsid w:val="00693D94"/>
    <w:pPr>
      <w:pBdr>
        <w:top w:val="single" w:sz="4" w:space="1" w:color="auto"/>
      </w:pBdr>
      <w:tabs>
        <w:tab w:val="right" w:pos="7655"/>
      </w:tabs>
    </w:pPr>
    <w:rPr>
      <w:rFonts w:ascii="Arial" w:eastAsia="Times New Roman" w:hAnsi="Arial" w:cs="Times New Roman"/>
      <w:sz w:val="18"/>
      <w:szCs w:val="20"/>
    </w:rPr>
  </w:style>
  <w:style w:type="character" w:customStyle="1" w:styleId="FooterChar">
    <w:name w:val="Footer Char"/>
    <w:basedOn w:val="DefaultParagraphFont"/>
    <w:link w:val="Footer"/>
    <w:uiPriority w:val="99"/>
    <w:rsid w:val="00693D94"/>
    <w:rPr>
      <w:rFonts w:ascii="Arial" w:eastAsia="Times New Roman" w:hAnsi="Arial" w:cs="Times New Roman"/>
      <w:sz w:val="18"/>
      <w:szCs w:val="20"/>
    </w:rPr>
  </w:style>
  <w:style w:type="paragraph" w:styleId="Header">
    <w:name w:val="header"/>
    <w:basedOn w:val="Normal"/>
    <w:link w:val="HeaderChar"/>
    <w:uiPriority w:val="99"/>
    <w:rsid w:val="00693D94"/>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93D94"/>
    <w:rPr>
      <w:rFonts w:ascii="Times New Roman" w:eastAsia="Times New Roman" w:hAnsi="Times New Roman" w:cs="Times New Roman"/>
      <w:sz w:val="20"/>
      <w:szCs w:val="20"/>
    </w:rPr>
  </w:style>
  <w:style w:type="paragraph" w:customStyle="1" w:styleId="HeaderHeading">
    <w:name w:val="Header Heading"/>
    <w:basedOn w:val="Normal"/>
    <w:rsid w:val="00693D94"/>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eastAsia="Times New Roman" w:hAnsi="Lucida Sans" w:cs="Arial"/>
      <w:sz w:val="20"/>
      <w:szCs w:val="20"/>
      <w:lang w:eastAsia="en-AU"/>
    </w:rPr>
  </w:style>
  <w:style w:type="paragraph" w:styleId="ListParagraph">
    <w:name w:val="List Paragraph"/>
    <w:basedOn w:val="Normal"/>
    <w:uiPriority w:val="34"/>
    <w:qFormat/>
    <w:rsid w:val="00693D94"/>
    <w:pPr>
      <w:spacing w:after="200" w:line="276" w:lineRule="auto"/>
      <w:ind w:left="720"/>
      <w:contextualSpacing/>
    </w:pPr>
    <w:rPr>
      <w:rFonts w:ascii="Arial" w:eastAsia="Calibri" w:hAnsi="Arial" w:cs="Times New Roman"/>
      <w:sz w:val="20"/>
    </w:rPr>
  </w:style>
  <w:style w:type="paragraph" w:styleId="BalloonText">
    <w:name w:val="Balloon Text"/>
    <w:basedOn w:val="Normal"/>
    <w:link w:val="BalloonTextChar"/>
    <w:uiPriority w:val="99"/>
    <w:semiHidden/>
    <w:unhideWhenUsed/>
    <w:rsid w:val="00693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D9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3FD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3FDF"/>
    <w:rPr>
      <w:rFonts w:ascii="Times New Roman" w:eastAsia="Times New Roman" w:hAnsi="Times New Roman" w:cs="Times New Roman"/>
      <w:b/>
      <w:bCs/>
      <w:sz w:val="20"/>
      <w:szCs w:val="20"/>
    </w:rPr>
  </w:style>
  <w:style w:type="paragraph" w:styleId="NormalWeb">
    <w:name w:val="Normal (Web)"/>
    <w:basedOn w:val="Normal"/>
    <w:uiPriority w:val="99"/>
    <w:unhideWhenUsed/>
    <w:rsid w:val="00C9765B"/>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0743C"/>
    <w:rPr>
      <w:color w:val="0000FF"/>
      <w:u w:val="single"/>
    </w:rPr>
  </w:style>
  <w:style w:type="paragraph" w:styleId="Revision">
    <w:name w:val="Revision"/>
    <w:hidden/>
    <w:uiPriority w:val="99"/>
    <w:semiHidden/>
    <w:rsid w:val="00F66F6E"/>
    <w:pPr>
      <w:spacing w:after="0" w:line="240" w:lineRule="auto"/>
    </w:pPr>
  </w:style>
  <w:style w:type="paragraph" w:styleId="FootnoteText">
    <w:name w:val="footnote text"/>
    <w:basedOn w:val="Normal"/>
    <w:link w:val="FootnoteTextChar"/>
    <w:uiPriority w:val="99"/>
    <w:semiHidden/>
    <w:unhideWhenUsed/>
    <w:rsid w:val="0084153B"/>
    <w:rPr>
      <w:sz w:val="20"/>
      <w:szCs w:val="20"/>
    </w:rPr>
  </w:style>
  <w:style w:type="character" w:customStyle="1" w:styleId="FootnoteTextChar">
    <w:name w:val="Footnote Text Char"/>
    <w:basedOn w:val="DefaultParagraphFont"/>
    <w:link w:val="FootnoteText"/>
    <w:uiPriority w:val="99"/>
    <w:semiHidden/>
    <w:rsid w:val="0084153B"/>
    <w:rPr>
      <w:sz w:val="20"/>
      <w:szCs w:val="20"/>
    </w:rPr>
  </w:style>
  <w:style w:type="character" w:styleId="FootnoteReference">
    <w:name w:val="footnote reference"/>
    <w:basedOn w:val="DefaultParagraphFont"/>
    <w:uiPriority w:val="99"/>
    <w:semiHidden/>
    <w:unhideWhenUsed/>
    <w:rsid w:val="0084153B"/>
    <w:rPr>
      <w:vertAlign w:val="superscript"/>
    </w:rPr>
  </w:style>
  <w:style w:type="paragraph" w:customStyle="1" w:styleId="Chart11">
    <w:name w:val="Chart 1.1"/>
    <w:basedOn w:val="Normal"/>
    <w:qFormat/>
    <w:rsid w:val="00EE0F8C"/>
    <w:pPr>
      <w:numPr>
        <w:numId w:val="2"/>
      </w:numPr>
      <w:spacing w:before="240" w:after="120"/>
      <w:ind w:left="357" w:hanging="357"/>
    </w:pPr>
    <w:rPr>
      <w:rFonts w:ascii="Arial" w:eastAsia="Times New Roman" w:hAnsi="Arial" w:cs="Times New Roman"/>
      <w:i/>
      <w:color w:val="4F4F4F"/>
      <w:szCs w:val="20"/>
    </w:rPr>
  </w:style>
  <w:style w:type="paragraph" w:customStyle="1" w:styleId="11Heading2">
    <w:name w:val="1.1 Heading 2"/>
    <w:basedOn w:val="Normal"/>
    <w:qFormat/>
    <w:rsid w:val="008D3493"/>
    <w:pPr>
      <w:numPr>
        <w:numId w:val="3"/>
      </w:numPr>
      <w:pBdr>
        <w:bottom w:val="single" w:sz="4" w:space="4" w:color="00ABE6"/>
      </w:pBdr>
      <w:spacing w:before="240" w:after="100"/>
    </w:pPr>
    <w:rPr>
      <w:rFonts w:ascii="Arial" w:eastAsia="Times New Roman" w:hAnsi="Arial" w:cs="Times New Roman"/>
      <w:b/>
      <w:color w:val="00ABE6"/>
      <w:sz w:val="28"/>
      <w:szCs w:val="20"/>
    </w:rPr>
  </w:style>
  <w:style w:type="paragraph" w:customStyle="1" w:styleId="Table11">
    <w:name w:val="Table 1.1"/>
    <w:basedOn w:val="Normal"/>
    <w:qFormat/>
    <w:rsid w:val="008D3493"/>
    <w:pPr>
      <w:widowControl w:val="0"/>
      <w:numPr>
        <w:numId w:val="4"/>
      </w:numPr>
      <w:spacing w:before="240" w:after="120"/>
    </w:pPr>
    <w:rPr>
      <w:rFonts w:ascii="Arial" w:eastAsia="Times New Roman" w:hAnsi="Arial" w:cs="Times New Roman"/>
      <w:bCs/>
      <w:i/>
      <w:color w:val="4F4F4F"/>
      <w:kern w:val="28"/>
    </w:rPr>
  </w:style>
  <w:style w:type="character" w:customStyle="1" w:styleId="Heading4Char">
    <w:name w:val="Heading 4 Char"/>
    <w:link w:val="Heading4"/>
    <w:rsid w:val="0067764C"/>
    <w:rPr>
      <w:rFonts w:ascii="Arial Bold" w:eastAsia="Times New Roman" w:hAnsi="Arial Bold" w:cs="Times New Roman"/>
      <w:b/>
      <w:color w:val="00426F"/>
      <w:kern w:val="28"/>
      <w:sz w:val="25"/>
      <w:szCs w:val="36"/>
    </w:rPr>
  </w:style>
  <w:style w:type="character" w:customStyle="1" w:styleId="Heading5Char">
    <w:name w:val="Heading 5 Char"/>
    <w:link w:val="Heading5"/>
    <w:rsid w:val="0067764C"/>
    <w:rPr>
      <w:rFonts w:ascii="Arial Bold" w:eastAsia="Times New Roman" w:hAnsi="Arial Bold" w:cs="Times New Roman"/>
      <w:i/>
      <w:kern w:val="28"/>
      <w:sz w:val="24"/>
      <w:szCs w:val="36"/>
    </w:rPr>
  </w:style>
  <w:style w:type="table" w:styleId="TableGrid">
    <w:name w:val="Table Grid"/>
    <w:basedOn w:val="TableNormal"/>
    <w:uiPriority w:val="39"/>
    <w:rsid w:val="0069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94B6F"/>
  </w:style>
  <w:style w:type="character" w:customStyle="1" w:styleId="UnresolvedMention1">
    <w:name w:val="Unresolved Mention1"/>
    <w:basedOn w:val="DefaultParagraphFont"/>
    <w:uiPriority w:val="99"/>
    <w:unhideWhenUsed/>
    <w:rsid w:val="00724DFB"/>
    <w:rPr>
      <w:color w:val="605E5C"/>
      <w:shd w:val="clear" w:color="auto" w:fill="E1DFDD"/>
    </w:rPr>
  </w:style>
  <w:style w:type="character" w:customStyle="1" w:styleId="Mention1">
    <w:name w:val="Mention1"/>
    <w:basedOn w:val="DefaultParagraphFont"/>
    <w:uiPriority w:val="99"/>
    <w:unhideWhenUsed/>
    <w:rsid w:val="00724DFB"/>
    <w:rPr>
      <w:color w:val="2B579A"/>
      <w:shd w:val="clear" w:color="auto" w:fill="E1DFDD"/>
    </w:rPr>
  </w:style>
  <w:style w:type="character" w:customStyle="1" w:styleId="eop">
    <w:name w:val="eop"/>
    <w:basedOn w:val="DefaultParagraphFont"/>
    <w:rsid w:val="006D196F"/>
  </w:style>
  <w:style w:type="character" w:customStyle="1" w:styleId="UnresolvedMention2">
    <w:name w:val="Unresolved Mention2"/>
    <w:basedOn w:val="DefaultParagraphFont"/>
    <w:uiPriority w:val="99"/>
    <w:unhideWhenUsed/>
    <w:rsid w:val="00BD5C02"/>
    <w:rPr>
      <w:color w:val="605E5C"/>
      <w:shd w:val="clear" w:color="auto" w:fill="E1DFDD"/>
    </w:rPr>
  </w:style>
  <w:style w:type="character" w:customStyle="1" w:styleId="Mention2">
    <w:name w:val="Mention2"/>
    <w:basedOn w:val="DefaultParagraphFont"/>
    <w:uiPriority w:val="99"/>
    <w:unhideWhenUsed/>
    <w:rsid w:val="00BD5C02"/>
    <w:rPr>
      <w:color w:val="2B579A"/>
      <w:shd w:val="clear" w:color="auto" w:fill="E1DFDD"/>
    </w:rPr>
  </w:style>
  <w:style w:type="paragraph" w:customStyle="1" w:styleId="BodyTextBox">
    <w:name w:val="Body Text Box"/>
    <w:basedOn w:val="Normal"/>
    <w:link w:val="BodyTextBoxChar"/>
    <w:autoRedefine/>
    <w:rsid w:val="0067764C"/>
    <w:pPr>
      <w:spacing w:before="120" w:after="80" w:line="240" w:lineRule="atLeast"/>
    </w:pPr>
    <w:rPr>
      <w:rFonts w:ascii="Arial" w:eastAsia="Times New Roman" w:hAnsi="Arial" w:cs="Arial"/>
      <w:color w:val="008EBA"/>
      <w:sz w:val="23"/>
      <w:szCs w:val="23"/>
    </w:rPr>
  </w:style>
  <w:style w:type="character" w:customStyle="1" w:styleId="BodyTextBoxChar">
    <w:name w:val="Body Text Box Char"/>
    <w:link w:val="BodyTextBox"/>
    <w:rsid w:val="0067764C"/>
    <w:rPr>
      <w:rFonts w:ascii="Arial" w:eastAsia="Times New Roman" w:hAnsi="Arial" w:cs="Arial"/>
      <w:color w:val="008EBA"/>
      <w:sz w:val="23"/>
      <w:szCs w:val="23"/>
    </w:rPr>
  </w:style>
  <w:style w:type="paragraph" w:customStyle="1" w:styleId="Box11BoxHeading">
    <w:name w:val="Box 1.1: Box Heading"/>
    <w:basedOn w:val="Normal"/>
    <w:qFormat/>
    <w:rsid w:val="0067764C"/>
    <w:pPr>
      <w:numPr>
        <w:numId w:val="9"/>
      </w:numPr>
      <w:spacing w:before="80" w:after="60"/>
    </w:pPr>
    <w:rPr>
      <w:rFonts w:ascii="Arial" w:eastAsia="Times New Roman" w:hAnsi="Arial" w:cs="Times New Roman"/>
      <w:b/>
      <w:sz w:val="23"/>
      <w:szCs w:val="20"/>
    </w:rPr>
  </w:style>
  <w:style w:type="paragraph" w:customStyle="1" w:styleId="BoxHeading">
    <w:name w:val="Box Heading"/>
    <w:basedOn w:val="Normal"/>
    <w:autoRedefine/>
    <w:rsid w:val="00EA0C98"/>
    <w:pPr>
      <w:keepNext/>
      <w:widowControl w:val="0"/>
      <w:numPr>
        <w:numId w:val="10"/>
      </w:numPr>
      <w:tabs>
        <w:tab w:val="left" w:pos="1100"/>
      </w:tabs>
      <w:spacing w:before="80" w:after="60" w:line="240" w:lineRule="atLeast"/>
      <w:ind w:left="357" w:hanging="357"/>
      <w:outlineLvl w:val="2"/>
    </w:pPr>
    <w:rPr>
      <w:rFonts w:ascii="Arial Bold" w:eastAsia="Times New Roman" w:hAnsi="Arial Bold" w:cs="Arial"/>
      <w:b/>
      <w:sz w:val="23"/>
      <w:szCs w:val="20"/>
      <w:lang w:val="en-US"/>
    </w:rPr>
  </w:style>
  <w:style w:type="paragraph" w:customStyle="1" w:styleId="Bullet1inabox">
    <w:name w:val="Bullet 1 in a box"/>
    <w:basedOn w:val="Bullet1"/>
    <w:autoRedefine/>
    <w:rsid w:val="0008252A"/>
    <w:pPr>
      <w:numPr>
        <w:numId w:val="18"/>
      </w:numPr>
      <w:spacing w:before="100" w:after="60"/>
      <w:ind w:left="357" w:hanging="357"/>
    </w:pPr>
    <w:rPr>
      <w:rFonts w:eastAsiaTheme="minorHAnsi" w:cs="Times New Roman"/>
      <w:color w:val="008EBA"/>
    </w:rPr>
  </w:style>
  <w:style w:type="paragraph" w:customStyle="1" w:styleId="Bullet2inabox">
    <w:name w:val="Bullet 2 in a box"/>
    <w:basedOn w:val="Normal"/>
    <w:qFormat/>
    <w:rsid w:val="0067764C"/>
    <w:pPr>
      <w:numPr>
        <w:numId w:val="13"/>
      </w:numPr>
      <w:spacing w:before="100" w:after="60" w:line="240" w:lineRule="atLeast"/>
    </w:pPr>
    <w:rPr>
      <w:rFonts w:ascii="Arial" w:eastAsia="Times New Roman" w:hAnsi="Arial" w:cs="Times New Roman"/>
      <w:color w:val="000000" w:themeColor="text1"/>
      <w:sz w:val="23"/>
      <w:szCs w:val="20"/>
    </w:rPr>
  </w:style>
  <w:style w:type="paragraph" w:customStyle="1" w:styleId="Bullet3">
    <w:name w:val="Bullet 3"/>
    <w:basedOn w:val="Bullet2"/>
    <w:rsid w:val="0067764C"/>
    <w:pPr>
      <w:framePr w:wrap="around" w:hAnchor="text"/>
      <w:numPr>
        <w:numId w:val="14"/>
      </w:numPr>
    </w:pPr>
  </w:style>
  <w:style w:type="paragraph" w:customStyle="1" w:styleId="Bullet4">
    <w:name w:val="Bullet 4"/>
    <w:basedOn w:val="Bullet3"/>
    <w:rsid w:val="0067764C"/>
    <w:pPr>
      <w:framePr w:wrap="around"/>
      <w:numPr>
        <w:numId w:val="0"/>
      </w:numPr>
      <w:tabs>
        <w:tab w:val="num" w:pos="1701"/>
      </w:tabs>
      <w:ind w:left="1701" w:hanging="425"/>
    </w:pPr>
  </w:style>
  <w:style w:type="paragraph" w:customStyle="1" w:styleId="Chart1X">
    <w:name w:val="Chart 1.X"/>
    <w:basedOn w:val="Normal"/>
    <w:next w:val="Normal"/>
    <w:rsid w:val="00273078"/>
    <w:pPr>
      <w:keepLines/>
      <w:numPr>
        <w:numId w:val="16"/>
      </w:numPr>
      <w:tabs>
        <w:tab w:val="left" w:pos="1304"/>
      </w:tabs>
      <w:spacing w:before="240" w:after="120"/>
      <w:ind w:left="357" w:hanging="357"/>
    </w:pPr>
    <w:rPr>
      <w:rFonts w:ascii="Arial" w:eastAsia="Times New Roman" w:hAnsi="Arial" w:cs="Times New Roman"/>
      <w:i/>
      <w:color w:val="4F4F4F"/>
      <w:szCs w:val="20"/>
      <w:lang w:val="en-US"/>
    </w:rPr>
  </w:style>
  <w:style w:type="paragraph" w:customStyle="1" w:styleId="Table2X">
    <w:name w:val="Table 2.X"/>
    <w:basedOn w:val="Normal"/>
    <w:qFormat/>
    <w:rsid w:val="0067764C"/>
    <w:pPr>
      <w:widowControl w:val="0"/>
      <w:numPr>
        <w:numId w:val="17"/>
      </w:numPr>
      <w:tabs>
        <w:tab w:val="left" w:pos="1304"/>
      </w:tabs>
      <w:spacing w:before="240" w:after="120"/>
    </w:pPr>
    <w:rPr>
      <w:rFonts w:ascii="Arial" w:eastAsia="Times New Roman" w:hAnsi="Arial" w:cs="Times New Roman"/>
      <w:bCs/>
      <w:i/>
      <w:color w:val="4F4F4F"/>
      <w:kern w:val="28"/>
      <w:lang w:val="en-US"/>
    </w:rPr>
  </w:style>
  <w:style w:type="paragraph" w:customStyle="1" w:styleId="xmsonormal">
    <w:name w:val="x_msonormal"/>
    <w:basedOn w:val="Normal"/>
    <w:rsid w:val="00026F52"/>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2180">
      <w:bodyDiv w:val="1"/>
      <w:marLeft w:val="0"/>
      <w:marRight w:val="0"/>
      <w:marTop w:val="0"/>
      <w:marBottom w:val="0"/>
      <w:divBdr>
        <w:top w:val="none" w:sz="0" w:space="0" w:color="auto"/>
        <w:left w:val="none" w:sz="0" w:space="0" w:color="auto"/>
        <w:bottom w:val="none" w:sz="0" w:space="0" w:color="auto"/>
        <w:right w:val="none" w:sz="0" w:space="0" w:color="auto"/>
      </w:divBdr>
    </w:div>
    <w:div w:id="81144215">
      <w:bodyDiv w:val="1"/>
      <w:marLeft w:val="0"/>
      <w:marRight w:val="0"/>
      <w:marTop w:val="0"/>
      <w:marBottom w:val="0"/>
      <w:divBdr>
        <w:top w:val="none" w:sz="0" w:space="0" w:color="auto"/>
        <w:left w:val="none" w:sz="0" w:space="0" w:color="auto"/>
        <w:bottom w:val="none" w:sz="0" w:space="0" w:color="auto"/>
        <w:right w:val="none" w:sz="0" w:space="0" w:color="auto"/>
      </w:divBdr>
    </w:div>
    <w:div w:id="94254694">
      <w:bodyDiv w:val="1"/>
      <w:marLeft w:val="0"/>
      <w:marRight w:val="0"/>
      <w:marTop w:val="0"/>
      <w:marBottom w:val="0"/>
      <w:divBdr>
        <w:top w:val="none" w:sz="0" w:space="0" w:color="auto"/>
        <w:left w:val="none" w:sz="0" w:space="0" w:color="auto"/>
        <w:bottom w:val="none" w:sz="0" w:space="0" w:color="auto"/>
        <w:right w:val="none" w:sz="0" w:space="0" w:color="auto"/>
      </w:divBdr>
    </w:div>
    <w:div w:id="99229175">
      <w:bodyDiv w:val="1"/>
      <w:marLeft w:val="0"/>
      <w:marRight w:val="0"/>
      <w:marTop w:val="0"/>
      <w:marBottom w:val="0"/>
      <w:divBdr>
        <w:top w:val="none" w:sz="0" w:space="0" w:color="auto"/>
        <w:left w:val="none" w:sz="0" w:space="0" w:color="auto"/>
        <w:bottom w:val="none" w:sz="0" w:space="0" w:color="auto"/>
        <w:right w:val="none" w:sz="0" w:space="0" w:color="auto"/>
      </w:divBdr>
    </w:div>
    <w:div w:id="100226379">
      <w:bodyDiv w:val="1"/>
      <w:marLeft w:val="0"/>
      <w:marRight w:val="0"/>
      <w:marTop w:val="0"/>
      <w:marBottom w:val="0"/>
      <w:divBdr>
        <w:top w:val="none" w:sz="0" w:space="0" w:color="auto"/>
        <w:left w:val="none" w:sz="0" w:space="0" w:color="auto"/>
        <w:bottom w:val="none" w:sz="0" w:space="0" w:color="auto"/>
        <w:right w:val="none" w:sz="0" w:space="0" w:color="auto"/>
      </w:divBdr>
    </w:div>
    <w:div w:id="106387681">
      <w:bodyDiv w:val="1"/>
      <w:marLeft w:val="0"/>
      <w:marRight w:val="0"/>
      <w:marTop w:val="0"/>
      <w:marBottom w:val="0"/>
      <w:divBdr>
        <w:top w:val="none" w:sz="0" w:space="0" w:color="auto"/>
        <w:left w:val="none" w:sz="0" w:space="0" w:color="auto"/>
        <w:bottom w:val="none" w:sz="0" w:space="0" w:color="auto"/>
        <w:right w:val="none" w:sz="0" w:space="0" w:color="auto"/>
      </w:divBdr>
    </w:div>
    <w:div w:id="109789606">
      <w:bodyDiv w:val="1"/>
      <w:marLeft w:val="0"/>
      <w:marRight w:val="0"/>
      <w:marTop w:val="0"/>
      <w:marBottom w:val="0"/>
      <w:divBdr>
        <w:top w:val="none" w:sz="0" w:space="0" w:color="auto"/>
        <w:left w:val="none" w:sz="0" w:space="0" w:color="auto"/>
        <w:bottom w:val="none" w:sz="0" w:space="0" w:color="auto"/>
        <w:right w:val="none" w:sz="0" w:space="0" w:color="auto"/>
      </w:divBdr>
    </w:div>
    <w:div w:id="358623688">
      <w:bodyDiv w:val="1"/>
      <w:marLeft w:val="0"/>
      <w:marRight w:val="0"/>
      <w:marTop w:val="0"/>
      <w:marBottom w:val="0"/>
      <w:divBdr>
        <w:top w:val="none" w:sz="0" w:space="0" w:color="auto"/>
        <w:left w:val="none" w:sz="0" w:space="0" w:color="auto"/>
        <w:bottom w:val="none" w:sz="0" w:space="0" w:color="auto"/>
        <w:right w:val="none" w:sz="0" w:space="0" w:color="auto"/>
      </w:divBdr>
    </w:div>
    <w:div w:id="384647305">
      <w:bodyDiv w:val="1"/>
      <w:marLeft w:val="0"/>
      <w:marRight w:val="0"/>
      <w:marTop w:val="0"/>
      <w:marBottom w:val="0"/>
      <w:divBdr>
        <w:top w:val="none" w:sz="0" w:space="0" w:color="auto"/>
        <w:left w:val="none" w:sz="0" w:space="0" w:color="auto"/>
        <w:bottom w:val="none" w:sz="0" w:space="0" w:color="auto"/>
        <w:right w:val="none" w:sz="0" w:space="0" w:color="auto"/>
      </w:divBdr>
    </w:div>
    <w:div w:id="410931809">
      <w:bodyDiv w:val="1"/>
      <w:marLeft w:val="0"/>
      <w:marRight w:val="0"/>
      <w:marTop w:val="0"/>
      <w:marBottom w:val="0"/>
      <w:divBdr>
        <w:top w:val="none" w:sz="0" w:space="0" w:color="auto"/>
        <w:left w:val="none" w:sz="0" w:space="0" w:color="auto"/>
        <w:bottom w:val="none" w:sz="0" w:space="0" w:color="auto"/>
        <w:right w:val="none" w:sz="0" w:space="0" w:color="auto"/>
      </w:divBdr>
    </w:div>
    <w:div w:id="435754978">
      <w:bodyDiv w:val="1"/>
      <w:marLeft w:val="0"/>
      <w:marRight w:val="0"/>
      <w:marTop w:val="0"/>
      <w:marBottom w:val="0"/>
      <w:divBdr>
        <w:top w:val="none" w:sz="0" w:space="0" w:color="auto"/>
        <w:left w:val="none" w:sz="0" w:space="0" w:color="auto"/>
        <w:bottom w:val="none" w:sz="0" w:space="0" w:color="auto"/>
        <w:right w:val="none" w:sz="0" w:space="0" w:color="auto"/>
      </w:divBdr>
    </w:div>
    <w:div w:id="520052594">
      <w:bodyDiv w:val="1"/>
      <w:marLeft w:val="0"/>
      <w:marRight w:val="0"/>
      <w:marTop w:val="0"/>
      <w:marBottom w:val="0"/>
      <w:divBdr>
        <w:top w:val="none" w:sz="0" w:space="0" w:color="auto"/>
        <w:left w:val="none" w:sz="0" w:space="0" w:color="auto"/>
        <w:bottom w:val="none" w:sz="0" w:space="0" w:color="auto"/>
        <w:right w:val="none" w:sz="0" w:space="0" w:color="auto"/>
      </w:divBdr>
    </w:div>
    <w:div w:id="525993925">
      <w:bodyDiv w:val="1"/>
      <w:marLeft w:val="0"/>
      <w:marRight w:val="0"/>
      <w:marTop w:val="0"/>
      <w:marBottom w:val="0"/>
      <w:divBdr>
        <w:top w:val="none" w:sz="0" w:space="0" w:color="auto"/>
        <w:left w:val="none" w:sz="0" w:space="0" w:color="auto"/>
        <w:bottom w:val="none" w:sz="0" w:space="0" w:color="auto"/>
        <w:right w:val="none" w:sz="0" w:space="0" w:color="auto"/>
      </w:divBdr>
    </w:div>
    <w:div w:id="618026982">
      <w:bodyDiv w:val="1"/>
      <w:marLeft w:val="0"/>
      <w:marRight w:val="0"/>
      <w:marTop w:val="0"/>
      <w:marBottom w:val="0"/>
      <w:divBdr>
        <w:top w:val="none" w:sz="0" w:space="0" w:color="auto"/>
        <w:left w:val="none" w:sz="0" w:space="0" w:color="auto"/>
        <w:bottom w:val="none" w:sz="0" w:space="0" w:color="auto"/>
        <w:right w:val="none" w:sz="0" w:space="0" w:color="auto"/>
      </w:divBdr>
    </w:div>
    <w:div w:id="623195774">
      <w:bodyDiv w:val="1"/>
      <w:marLeft w:val="0"/>
      <w:marRight w:val="0"/>
      <w:marTop w:val="0"/>
      <w:marBottom w:val="0"/>
      <w:divBdr>
        <w:top w:val="none" w:sz="0" w:space="0" w:color="auto"/>
        <w:left w:val="none" w:sz="0" w:space="0" w:color="auto"/>
        <w:bottom w:val="none" w:sz="0" w:space="0" w:color="auto"/>
        <w:right w:val="none" w:sz="0" w:space="0" w:color="auto"/>
      </w:divBdr>
    </w:div>
    <w:div w:id="626467657">
      <w:bodyDiv w:val="1"/>
      <w:marLeft w:val="0"/>
      <w:marRight w:val="0"/>
      <w:marTop w:val="0"/>
      <w:marBottom w:val="0"/>
      <w:divBdr>
        <w:top w:val="none" w:sz="0" w:space="0" w:color="auto"/>
        <w:left w:val="none" w:sz="0" w:space="0" w:color="auto"/>
        <w:bottom w:val="none" w:sz="0" w:space="0" w:color="auto"/>
        <w:right w:val="none" w:sz="0" w:space="0" w:color="auto"/>
      </w:divBdr>
    </w:div>
    <w:div w:id="637296742">
      <w:bodyDiv w:val="1"/>
      <w:marLeft w:val="0"/>
      <w:marRight w:val="0"/>
      <w:marTop w:val="0"/>
      <w:marBottom w:val="0"/>
      <w:divBdr>
        <w:top w:val="none" w:sz="0" w:space="0" w:color="auto"/>
        <w:left w:val="none" w:sz="0" w:space="0" w:color="auto"/>
        <w:bottom w:val="none" w:sz="0" w:space="0" w:color="auto"/>
        <w:right w:val="none" w:sz="0" w:space="0" w:color="auto"/>
      </w:divBdr>
    </w:div>
    <w:div w:id="717437634">
      <w:bodyDiv w:val="1"/>
      <w:marLeft w:val="0"/>
      <w:marRight w:val="0"/>
      <w:marTop w:val="0"/>
      <w:marBottom w:val="0"/>
      <w:divBdr>
        <w:top w:val="none" w:sz="0" w:space="0" w:color="auto"/>
        <w:left w:val="none" w:sz="0" w:space="0" w:color="auto"/>
        <w:bottom w:val="none" w:sz="0" w:space="0" w:color="auto"/>
        <w:right w:val="none" w:sz="0" w:space="0" w:color="auto"/>
      </w:divBdr>
    </w:div>
    <w:div w:id="723145387">
      <w:bodyDiv w:val="1"/>
      <w:marLeft w:val="0"/>
      <w:marRight w:val="0"/>
      <w:marTop w:val="0"/>
      <w:marBottom w:val="0"/>
      <w:divBdr>
        <w:top w:val="none" w:sz="0" w:space="0" w:color="auto"/>
        <w:left w:val="none" w:sz="0" w:space="0" w:color="auto"/>
        <w:bottom w:val="none" w:sz="0" w:space="0" w:color="auto"/>
        <w:right w:val="none" w:sz="0" w:space="0" w:color="auto"/>
      </w:divBdr>
    </w:div>
    <w:div w:id="748503942">
      <w:bodyDiv w:val="1"/>
      <w:marLeft w:val="0"/>
      <w:marRight w:val="0"/>
      <w:marTop w:val="0"/>
      <w:marBottom w:val="0"/>
      <w:divBdr>
        <w:top w:val="none" w:sz="0" w:space="0" w:color="auto"/>
        <w:left w:val="none" w:sz="0" w:space="0" w:color="auto"/>
        <w:bottom w:val="none" w:sz="0" w:space="0" w:color="auto"/>
        <w:right w:val="none" w:sz="0" w:space="0" w:color="auto"/>
      </w:divBdr>
    </w:div>
    <w:div w:id="762457889">
      <w:bodyDiv w:val="1"/>
      <w:marLeft w:val="0"/>
      <w:marRight w:val="0"/>
      <w:marTop w:val="0"/>
      <w:marBottom w:val="0"/>
      <w:divBdr>
        <w:top w:val="none" w:sz="0" w:space="0" w:color="auto"/>
        <w:left w:val="none" w:sz="0" w:space="0" w:color="auto"/>
        <w:bottom w:val="none" w:sz="0" w:space="0" w:color="auto"/>
        <w:right w:val="none" w:sz="0" w:space="0" w:color="auto"/>
      </w:divBdr>
    </w:div>
    <w:div w:id="768505967">
      <w:bodyDiv w:val="1"/>
      <w:marLeft w:val="0"/>
      <w:marRight w:val="0"/>
      <w:marTop w:val="0"/>
      <w:marBottom w:val="0"/>
      <w:divBdr>
        <w:top w:val="none" w:sz="0" w:space="0" w:color="auto"/>
        <w:left w:val="none" w:sz="0" w:space="0" w:color="auto"/>
        <w:bottom w:val="none" w:sz="0" w:space="0" w:color="auto"/>
        <w:right w:val="none" w:sz="0" w:space="0" w:color="auto"/>
      </w:divBdr>
    </w:div>
    <w:div w:id="774639352">
      <w:bodyDiv w:val="1"/>
      <w:marLeft w:val="0"/>
      <w:marRight w:val="0"/>
      <w:marTop w:val="0"/>
      <w:marBottom w:val="0"/>
      <w:divBdr>
        <w:top w:val="none" w:sz="0" w:space="0" w:color="auto"/>
        <w:left w:val="none" w:sz="0" w:space="0" w:color="auto"/>
        <w:bottom w:val="none" w:sz="0" w:space="0" w:color="auto"/>
        <w:right w:val="none" w:sz="0" w:space="0" w:color="auto"/>
      </w:divBdr>
    </w:div>
    <w:div w:id="778187982">
      <w:bodyDiv w:val="1"/>
      <w:marLeft w:val="0"/>
      <w:marRight w:val="0"/>
      <w:marTop w:val="0"/>
      <w:marBottom w:val="0"/>
      <w:divBdr>
        <w:top w:val="none" w:sz="0" w:space="0" w:color="auto"/>
        <w:left w:val="none" w:sz="0" w:space="0" w:color="auto"/>
        <w:bottom w:val="none" w:sz="0" w:space="0" w:color="auto"/>
        <w:right w:val="none" w:sz="0" w:space="0" w:color="auto"/>
      </w:divBdr>
    </w:div>
    <w:div w:id="781264462">
      <w:bodyDiv w:val="1"/>
      <w:marLeft w:val="0"/>
      <w:marRight w:val="0"/>
      <w:marTop w:val="0"/>
      <w:marBottom w:val="0"/>
      <w:divBdr>
        <w:top w:val="none" w:sz="0" w:space="0" w:color="auto"/>
        <w:left w:val="none" w:sz="0" w:space="0" w:color="auto"/>
        <w:bottom w:val="none" w:sz="0" w:space="0" w:color="auto"/>
        <w:right w:val="none" w:sz="0" w:space="0" w:color="auto"/>
      </w:divBdr>
    </w:div>
    <w:div w:id="787239238">
      <w:bodyDiv w:val="1"/>
      <w:marLeft w:val="0"/>
      <w:marRight w:val="0"/>
      <w:marTop w:val="0"/>
      <w:marBottom w:val="0"/>
      <w:divBdr>
        <w:top w:val="none" w:sz="0" w:space="0" w:color="auto"/>
        <w:left w:val="none" w:sz="0" w:space="0" w:color="auto"/>
        <w:bottom w:val="none" w:sz="0" w:space="0" w:color="auto"/>
        <w:right w:val="none" w:sz="0" w:space="0" w:color="auto"/>
      </w:divBdr>
    </w:div>
    <w:div w:id="791172587">
      <w:bodyDiv w:val="1"/>
      <w:marLeft w:val="0"/>
      <w:marRight w:val="0"/>
      <w:marTop w:val="0"/>
      <w:marBottom w:val="0"/>
      <w:divBdr>
        <w:top w:val="none" w:sz="0" w:space="0" w:color="auto"/>
        <w:left w:val="none" w:sz="0" w:space="0" w:color="auto"/>
        <w:bottom w:val="none" w:sz="0" w:space="0" w:color="auto"/>
        <w:right w:val="none" w:sz="0" w:space="0" w:color="auto"/>
      </w:divBdr>
    </w:div>
    <w:div w:id="829368552">
      <w:bodyDiv w:val="1"/>
      <w:marLeft w:val="0"/>
      <w:marRight w:val="0"/>
      <w:marTop w:val="0"/>
      <w:marBottom w:val="0"/>
      <w:divBdr>
        <w:top w:val="none" w:sz="0" w:space="0" w:color="auto"/>
        <w:left w:val="none" w:sz="0" w:space="0" w:color="auto"/>
        <w:bottom w:val="none" w:sz="0" w:space="0" w:color="auto"/>
        <w:right w:val="none" w:sz="0" w:space="0" w:color="auto"/>
      </w:divBdr>
    </w:div>
    <w:div w:id="885458517">
      <w:bodyDiv w:val="1"/>
      <w:marLeft w:val="0"/>
      <w:marRight w:val="0"/>
      <w:marTop w:val="0"/>
      <w:marBottom w:val="0"/>
      <w:divBdr>
        <w:top w:val="none" w:sz="0" w:space="0" w:color="auto"/>
        <w:left w:val="none" w:sz="0" w:space="0" w:color="auto"/>
        <w:bottom w:val="none" w:sz="0" w:space="0" w:color="auto"/>
        <w:right w:val="none" w:sz="0" w:space="0" w:color="auto"/>
      </w:divBdr>
    </w:div>
    <w:div w:id="894006207">
      <w:bodyDiv w:val="1"/>
      <w:marLeft w:val="0"/>
      <w:marRight w:val="0"/>
      <w:marTop w:val="0"/>
      <w:marBottom w:val="0"/>
      <w:divBdr>
        <w:top w:val="none" w:sz="0" w:space="0" w:color="auto"/>
        <w:left w:val="none" w:sz="0" w:space="0" w:color="auto"/>
        <w:bottom w:val="none" w:sz="0" w:space="0" w:color="auto"/>
        <w:right w:val="none" w:sz="0" w:space="0" w:color="auto"/>
      </w:divBdr>
    </w:div>
    <w:div w:id="1024288185">
      <w:bodyDiv w:val="1"/>
      <w:marLeft w:val="0"/>
      <w:marRight w:val="0"/>
      <w:marTop w:val="0"/>
      <w:marBottom w:val="0"/>
      <w:divBdr>
        <w:top w:val="none" w:sz="0" w:space="0" w:color="auto"/>
        <w:left w:val="none" w:sz="0" w:space="0" w:color="auto"/>
        <w:bottom w:val="none" w:sz="0" w:space="0" w:color="auto"/>
        <w:right w:val="none" w:sz="0" w:space="0" w:color="auto"/>
      </w:divBdr>
    </w:div>
    <w:div w:id="1116942465">
      <w:bodyDiv w:val="1"/>
      <w:marLeft w:val="0"/>
      <w:marRight w:val="0"/>
      <w:marTop w:val="0"/>
      <w:marBottom w:val="0"/>
      <w:divBdr>
        <w:top w:val="none" w:sz="0" w:space="0" w:color="auto"/>
        <w:left w:val="none" w:sz="0" w:space="0" w:color="auto"/>
        <w:bottom w:val="none" w:sz="0" w:space="0" w:color="auto"/>
        <w:right w:val="none" w:sz="0" w:space="0" w:color="auto"/>
      </w:divBdr>
    </w:div>
    <w:div w:id="1119374777">
      <w:bodyDiv w:val="1"/>
      <w:marLeft w:val="0"/>
      <w:marRight w:val="0"/>
      <w:marTop w:val="0"/>
      <w:marBottom w:val="0"/>
      <w:divBdr>
        <w:top w:val="none" w:sz="0" w:space="0" w:color="auto"/>
        <w:left w:val="none" w:sz="0" w:space="0" w:color="auto"/>
        <w:bottom w:val="none" w:sz="0" w:space="0" w:color="auto"/>
        <w:right w:val="none" w:sz="0" w:space="0" w:color="auto"/>
      </w:divBdr>
    </w:div>
    <w:div w:id="1126460582">
      <w:bodyDiv w:val="1"/>
      <w:marLeft w:val="0"/>
      <w:marRight w:val="0"/>
      <w:marTop w:val="0"/>
      <w:marBottom w:val="0"/>
      <w:divBdr>
        <w:top w:val="none" w:sz="0" w:space="0" w:color="auto"/>
        <w:left w:val="none" w:sz="0" w:space="0" w:color="auto"/>
        <w:bottom w:val="none" w:sz="0" w:space="0" w:color="auto"/>
        <w:right w:val="none" w:sz="0" w:space="0" w:color="auto"/>
      </w:divBdr>
    </w:div>
    <w:div w:id="1161045751">
      <w:bodyDiv w:val="1"/>
      <w:marLeft w:val="0"/>
      <w:marRight w:val="0"/>
      <w:marTop w:val="0"/>
      <w:marBottom w:val="0"/>
      <w:divBdr>
        <w:top w:val="none" w:sz="0" w:space="0" w:color="auto"/>
        <w:left w:val="none" w:sz="0" w:space="0" w:color="auto"/>
        <w:bottom w:val="none" w:sz="0" w:space="0" w:color="auto"/>
        <w:right w:val="none" w:sz="0" w:space="0" w:color="auto"/>
      </w:divBdr>
    </w:div>
    <w:div w:id="1209418369">
      <w:bodyDiv w:val="1"/>
      <w:marLeft w:val="0"/>
      <w:marRight w:val="0"/>
      <w:marTop w:val="0"/>
      <w:marBottom w:val="0"/>
      <w:divBdr>
        <w:top w:val="none" w:sz="0" w:space="0" w:color="auto"/>
        <w:left w:val="none" w:sz="0" w:space="0" w:color="auto"/>
        <w:bottom w:val="none" w:sz="0" w:space="0" w:color="auto"/>
        <w:right w:val="none" w:sz="0" w:space="0" w:color="auto"/>
      </w:divBdr>
    </w:div>
    <w:div w:id="1230770801">
      <w:bodyDiv w:val="1"/>
      <w:marLeft w:val="0"/>
      <w:marRight w:val="0"/>
      <w:marTop w:val="0"/>
      <w:marBottom w:val="0"/>
      <w:divBdr>
        <w:top w:val="none" w:sz="0" w:space="0" w:color="auto"/>
        <w:left w:val="none" w:sz="0" w:space="0" w:color="auto"/>
        <w:bottom w:val="none" w:sz="0" w:space="0" w:color="auto"/>
        <w:right w:val="none" w:sz="0" w:space="0" w:color="auto"/>
      </w:divBdr>
    </w:div>
    <w:div w:id="1263294448">
      <w:bodyDiv w:val="1"/>
      <w:marLeft w:val="0"/>
      <w:marRight w:val="0"/>
      <w:marTop w:val="0"/>
      <w:marBottom w:val="0"/>
      <w:divBdr>
        <w:top w:val="none" w:sz="0" w:space="0" w:color="auto"/>
        <w:left w:val="none" w:sz="0" w:space="0" w:color="auto"/>
        <w:bottom w:val="none" w:sz="0" w:space="0" w:color="auto"/>
        <w:right w:val="none" w:sz="0" w:space="0" w:color="auto"/>
      </w:divBdr>
    </w:div>
    <w:div w:id="1328441469">
      <w:bodyDiv w:val="1"/>
      <w:marLeft w:val="0"/>
      <w:marRight w:val="0"/>
      <w:marTop w:val="0"/>
      <w:marBottom w:val="0"/>
      <w:divBdr>
        <w:top w:val="none" w:sz="0" w:space="0" w:color="auto"/>
        <w:left w:val="none" w:sz="0" w:space="0" w:color="auto"/>
        <w:bottom w:val="none" w:sz="0" w:space="0" w:color="auto"/>
        <w:right w:val="none" w:sz="0" w:space="0" w:color="auto"/>
      </w:divBdr>
    </w:div>
    <w:div w:id="1333294430">
      <w:bodyDiv w:val="1"/>
      <w:marLeft w:val="0"/>
      <w:marRight w:val="0"/>
      <w:marTop w:val="0"/>
      <w:marBottom w:val="0"/>
      <w:divBdr>
        <w:top w:val="none" w:sz="0" w:space="0" w:color="auto"/>
        <w:left w:val="none" w:sz="0" w:space="0" w:color="auto"/>
        <w:bottom w:val="none" w:sz="0" w:space="0" w:color="auto"/>
        <w:right w:val="none" w:sz="0" w:space="0" w:color="auto"/>
      </w:divBdr>
    </w:div>
    <w:div w:id="1343049840">
      <w:bodyDiv w:val="1"/>
      <w:marLeft w:val="0"/>
      <w:marRight w:val="0"/>
      <w:marTop w:val="0"/>
      <w:marBottom w:val="0"/>
      <w:divBdr>
        <w:top w:val="none" w:sz="0" w:space="0" w:color="auto"/>
        <w:left w:val="none" w:sz="0" w:space="0" w:color="auto"/>
        <w:bottom w:val="none" w:sz="0" w:space="0" w:color="auto"/>
        <w:right w:val="none" w:sz="0" w:space="0" w:color="auto"/>
      </w:divBdr>
    </w:div>
    <w:div w:id="1343895276">
      <w:bodyDiv w:val="1"/>
      <w:marLeft w:val="0"/>
      <w:marRight w:val="0"/>
      <w:marTop w:val="0"/>
      <w:marBottom w:val="0"/>
      <w:divBdr>
        <w:top w:val="none" w:sz="0" w:space="0" w:color="auto"/>
        <w:left w:val="none" w:sz="0" w:space="0" w:color="auto"/>
        <w:bottom w:val="none" w:sz="0" w:space="0" w:color="auto"/>
        <w:right w:val="none" w:sz="0" w:space="0" w:color="auto"/>
      </w:divBdr>
    </w:div>
    <w:div w:id="1448500451">
      <w:bodyDiv w:val="1"/>
      <w:marLeft w:val="0"/>
      <w:marRight w:val="0"/>
      <w:marTop w:val="0"/>
      <w:marBottom w:val="0"/>
      <w:divBdr>
        <w:top w:val="none" w:sz="0" w:space="0" w:color="auto"/>
        <w:left w:val="none" w:sz="0" w:space="0" w:color="auto"/>
        <w:bottom w:val="none" w:sz="0" w:space="0" w:color="auto"/>
        <w:right w:val="none" w:sz="0" w:space="0" w:color="auto"/>
      </w:divBdr>
    </w:div>
    <w:div w:id="1454137075">
      <w:bodyDiv w:val="1"/>
      <w:marLeft w:val="0"/>
      <w:marRight w:val="0"/>
      <w:marTop w:val="0"/>
      <w:marBottom w:val="0"/>
      <w:divBdr>
        <w:top w:val="none" w:sz="0" w:space="0" w:color="auto"/>
        <w:left w:val="none" w:sz="0" w:space="0" w:color="auto"/>
        <w:bottom w:val="none" w:sz="0" w:space="0" w:color="auto"/>
        <w:right w:val="none" w:sz="0" w:space="0" w:color="auto"/>
      </w:divBdr>
    </w:div>
    <w:div w:id="1464302735">
      <w:bodyDiv w:val="1"/>
      <w:marLeft w:val="0"/>
      <w:marRight w:val="0"/>
      <w:marTop w:val="0"/>
      <w:marBottom w:val="0"/>
      <w:divBdr>
        <w:top w:val="none" w:sz="0" w:space="0" w:color="auto"/>
        <w:left w:val="none" w:sz="0" w:space="0" w:color="auto"/>
        <w:bottom w:val="none" w:sz="0" w:space="0" w:color="auto"/>
        <w:right w:val="none" w:sz="0" w:space="0" w:color="auto"/>
      </w:divBdr>
    </w:div>
    <w:div w:id="1524972735">
      <w:bodyDiv w:val="1"/>
      <w:marLeft w:val="0"/>
      <w:marRight w:val="0"/>
      <w:marTop w:val="0"/>
      <w:marBottom w:val="0"/>
      <w:divBdr>
        <w:top w:val="none" w:sz="0" w:space="0" w:color="auto"/>
        <w:left w:val="none" w:sz="0" w:space="0" w:color="auto"/>
        <w:bottom w:val="none" w:sz="0" w:space="0" w:color="auto"/>
        <w:right w:val="none" w:sz="0" w:space="0" w:color="auto"/>
      </w:divBdr>
    </w:div>
    <w:div w:id="1554149817">
      <w:bodyDiv w:val="1"/>
      <w:marLeft w:val="0"/>
      <w:marRight w:val="0"/>
      <w:marTop w:val="0"/>
      <w:marBottom w:val="0"/>
      <w:divBdr>
        <w:top w:val="none" w:sz="0" w:space="0" w:color="auto"/>
        <w:left w:val="none" w:sz="0" w:space="0" w:color="auto"/>
        <w:bottom w:val="none" w:sz="0" w:space="0" w:color="auto"/>
        <w:right w:val="none" w:sz="0" w:space="0" w:color="auto"/>
      </w:divBdr>
    </w:div>
    <w:div w:id="1554730070">
      <w:bodyDiv w:val="1"/>
      <w:marLeft w:val="0"/>
      <w:marRight w:val="0"/>
      <w:marTop w:val="0"/>
      <w:marBottom w:val="0"/>
      <w:divBdr>
        <w:top w:val="none" w:sz="0" w:space="0" w:color="auto"/>
        <w:left w:val="none" w:sz="0" w:space="0" w:color="auto"/>
        <w:bottom w:val="none" w:sz="0" w:space="0" w:color="auto"/>
        <w:right w:val="none" w:sz="0" w:space="0" w:color="auto"/>
      </w:divBdr>
    </w:div>
    <w:div w:id="1636909104">
      <w:bodyDiv w:val="1"/>
      <w:marLeft w:val="0"/>
      <w:marRight w:val="0"/>
      <w:marTop w:val="0"/>
      <w:marBottom w:val="0"/>
      <w:divBdr>
        <w:top w:val="none" w:sz="0" w:space="0" w:color="auto"/>
        <w:left w:val="none" w:sz="0" w:space="0" w:color="auto"/>
        <w:bottom w:val="none" w:sz="0" w:space="0" w:color="auto"/>
        <w:right w:val="none" w:sz="0" w:space="0" w:color="auto"/>
      </w:divBdr>
    </w:div>
    <w:div w:id="1644113362">
      <w:bodyDiv w:val="1"/>
      <w:marLeft w:val="0"/>
      <w:marRight w:val="0"/>
      <w:marTop w:val="0"/>
      <w:marBottom w:val="0"/>
      <w:divBdr>
        <w:top w:val="none" w:sz="0" w:space="0" w:color="auto"/>
        <w:left w:val="none" w:sz="0" w:space="0" w:color="auto"/>
        <w:bottom w:val="none" w:sz="0" w:space="0" w:color="auto"/>
        <w:right w:val="none" w:sz="0" w:space="0" w:color="auto"/>
      </w:divBdr>
    </w:div>
    <w:div w:id="1805001883">
      <w:bodyDiv w:val="1"/>
      <w:marLeft w:val="0"/>
      <w:marRight w:val="0"/>
      <w:marTop w:val="0"/>
      <w:marBottom w:val="0"/>
      <w:divBdr>
        <w:top w:val="none" w:sz="0" w:space="0" w:color="auto"/>
        <w:left w:val="none" w:sz="0" w:space="0" w:color="auto"/>
        <w:bottom w:val="none" w:sz="0" w:space="0" w:color="auto"/>
        <w:right w:val="none" w:sz="0" w:space="0" w:color="auto"/>
      </w:divBdr>
    </w:div>
    <w:div w:id="1856994382">
      <w:bodyDiv w:val="1"/>
      <w:marLeft w:val="0"/>
      <w:marRight w:val="0"/>
      <w:marTop w:val="0"/>
      <w:marBottom w:val="0"/>
      <w:divBdr>
        <w:top w:val="none" w:sz="0" w:space="0" w:color="auto"/>
        <w:left w:val="none" w:sz="0" w:space="0" w:color="auto"/>
        <w:bottom w:val="none" w:sz="0" w:space="0" w:color="auto"/>
        <w:right w:val="none" w:sz="0" w:space="0" w:color="auto"/>
      </w:divBdr>
    </w:div>
    <w:div w:id="1932471310">
      <w:bodyDiv w:val="1"/>
      <w:marLeft w:val="0"/>
      <w:marRight w:val="0"/>
      <w:marTop w:val="0"/>
      <w:marBottom w:val="0"/>
      <w:divBdr>
        <w:top w:val="none" w:sz="0" w:space="0" w:color="auto"/>
        <w:left w:val="none" w:sz="0" w:space="0" w:color="auto"/>
        <w:bottom w:val="none" w:sz="0" w:space="0" w:color="auto"/>
        <w:right w:val="none" w:sz="0" w:space="0" w:color="auto"/>
      </w:divBdr>
    </w:div>
    <w:div w:id="1947620255">
      <w:bodyDiv w:val="1"/>
      <w:marLeft w:val="0"/>
      <w:marRight w:val="0"/>
      <w:marTop w:val="0"/>
      <w:marBottom w:val="0"/>
      <w:divBdr>
        <w:top w:val="none" w:sz="0" w:space="0" w:color="auto"/>
        <w:left w:val="none" w:sz="0" w:space="0" w:color="auto"/>
        <w:bottom w:val="none" w:sz="0" w:space="0" w:color="auto"/>
        <w:right w:val="none" w:sz="0" w:space="0" w:color="auto"/>
      </w:divBdr>
    </w:div>
    <w:div w:id="2053993353">
      <w:bodyDiv w:val="1"/>
      <w:marLeft w:val="0"/>
      <w:marRight w:val="0"/>
      <w:marTop w:val="0"/>
      <w:marBottom w:val="0"/>
      <w:divBdr>
        <w:top w:val="none" w:sz="0" w:space="0" w:color="auto"/>
        <w:left w:val="none" w:sz="0" w:space="0" w:color="auto"/>
        <w:bottom w:val="none" w:sz="0" w:space="0" w:color="auto"/>
        <w:right w:val="none" w:sz="0" w:space="0" w:color="auto"/>
      </w:divBdr>
    </w:div>
    <w:div w:id="20971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chart" Target="charts/chart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chart" Target="charts/chart6.xml"/><Relationship Id="rId30" Type="http://schemas.openxmlformats.org/officeDocument/2006/relationships/header" Target="header6.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1.%20Customer%20Service%20Cluster/03.%20White/Attachment%20B%20-%20Outcome%20Indicator%20-%20Customer%20Service%20(WHI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1.%20Customer%20Service%20Cluster/02.%20Green/Attachment%20B%20-%20Outcome%20Indicator%20-%20Customer%20Service%20(GREE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1.%20Customer%20Service%20Cluster/03.%20White/Attachment%20B%20-%20Outcome%20Indicator%20-%20Customer%20Service%20(WHI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1.%20Customer%20Service%20Cluster/03.%20White/Attachment%20B%20-%20Outcome%20Indicator%20-%20Customer%20Service%20(WHI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1.%20Customer%20Service%20Cluster/02.%20Green/Attachment%20B%20-%20Outcome%20Indicator%20-%20Customer%20Service%20(GREE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1.%20Customer%20Service%20Cluster/03.%20White/Attachment%20B%20-%20Outcome%20Indicator%20-%20Customer%20Service%20(WHIT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charts'!$K$8</c:f>
              <c:strCache>
                <c:ptCount val="1"/>
                <c:pt idx="0">
                  <c:v>%</c:v>
                </c:pt>
              </c:strCache>
            </c:strRef>
          </c:tx>
          <c:spPr>
            <a:ln w="28575" cap="rnd">
              <a:solidFill>
                <a:srgbClr val="00426F"/>
              </a:solidFill>
              <a:round/>
            </a:ln>
            <a:effectLst/>
          </c:spPr>
          <c:marker>
            <c:symbol val="none"/>
          </c:marker>
          <c:cat>
            <c:strRef>
              <c:f>'White BP3 charts'!$J$9:$J$15</c:f>
              <c:strCache>
                <c:ptCount val="7"/>
                <c:pt idx="0">
                  <c:v>2019-20
Actual</c:v>
                </c:pt>
                <c:pt idx="2">
                  <c:v>2020-21
Forecast</c:v>
                </c:pt>
                <c:pt idx="4">
                  <c:v>2021-22
Forecast</c:v>
                </c:pt>
                <c:pt idx="6">
                  <c:v>2022-23
Target</c:v>
                </c:pt>
              </c:strCache>
            </c:strRef>
          </c:cat>
          <c:val>
            <c:numRef>
              <c:f>'White BP3 charts'!$K$9:$K$15</c:f>
              <c:numCache>
                <c:formatCode>General</c:formatCode>
                <c:ptCount val="7"/>
                <c:pt idx="0">
                  <c:v>25</c:v>
                </c:pt>
                <c:pt idx="1">
                  <c:v>37.5</c:v>
                </c:pt>
              </c:numCache>
            </c:numRef>
          </c:val>
          <c:smooth val="0"/>
          <c:extLst>
            <c:ext xmlns:c16="http://schemas.microsoft.com/office/drawing/2014/chart" uri="{C3380CC4-5D6E-409C-BE32-E72D297353CC}">
              <c16:uniqueId val="{00000000-DA72-4804-A6C1-24E890729A4F}"/>
            </c:ext>
          </c:extLst>
        </c:ser>
        <c:ser>
          <c:idx val="1"/>
          <c:order val="1"/>
          <c:tx>
            <c:strRef>
              <c:f>'White BP3 charts'!$L$8</c:f>
              <c:strCache>
                <c:ptCount val="1"/>
                <c:pt idx="0">
                  <c:v>%</c:v>
                </c:pt>
              </c:strCache>
            </c:strRef>
          </c:tx>
          <c:spPr>
            <a:ln w="28575" cap="rnd">
              <a:solidFill>
                <a:srgbClr val="00426F"/>
              </a:solidFill>
              <a:prstDash val="dash"/>
              <a:round/>
            </a:ln>
            <a:effectLst/>
          </c:spPr>
          <c:marker>
            <c:symbol val="none"/>
          </c:marker>
          <c:cat>
            <c:strRef>
              <c:f>'White BP3 charts'!$J$9:$J$15</c:f>
              <c:strCache>
                <c:ptCount val="7"/>
                <c:pt idx="0">
                  <c:v>2019-20
Actual</c:v>
                </c:pt>
                <c:pt idx="2">
                  <c:v>2020-21
Forecast</c:v>
                </c:pt>
                <c:pt idx="4">
                  <c:v>2021-22
Forecast</c:v>
                </c:pt>
                <c:pt idx="6">
                  <c:v>2022-23
Target</c:v>
                </c:pt>
              </c:strCache>
            </c:strRef>
          </c:cat>
          <c:val>
            <c:numRef>
              <c:f>'White BP3 charts'!$L$9:$L$15</c:f>
              <c:numCache>
                <c:formatCode>General</c:formatCode>
                <c:ptCount val="7"/>
                <c:pt idx="0">
                  <c:v>25</c:v>
                </c:pt>
                <c:pt idx="1">
                  <c:v>37.5</c:v>
                </c:pt>
                <c:pt idx="2">
                  <c:v>50</c:v>
                </c:pt>
                <c:pt idx="3">
                  <c:v>67.5</c:v>
                </c:pt>
                <c:pt idx="4">
                  <c:v>85</c:v>
                </c:pt>
              </c:numCache>
            </c:numRef>
          </c:val>
          <c:smooth val="0"/>
          <c:extLst>
            <c:ext xmlns:c16="http://schemas.microsoft.com/office/drawing/2014/chart" uri="{C3380CC4-5D6E-409C-BE32-E72D297353CC}">
              <c16:uniqueId val="{00000001-DA72-4804-A6C1-24E890729A4F}"/>
            </c:ext>
          </c:extLst>
        </c:ser>
        <c:ser>
          <c:idx val="2"/>
          <c:order val="2"/>
          <c:tx>
            <c:strRef>
              <c:f>'White BP3 charts'!$M$8</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charts'!$J$9:$J$15</c:f>
              <c:strCache>
                <c:ptCount val="7"/>
                <c:pt idx="0">
                  <c:v>2019-20
Actual</c:v>
                </c:pt>
                <c:pt idx="2">
                  <c:v>2020-21
Forecast</c:v>
                </c:pt>
                <c:pt idx="4">
                  <c:v>2021-22
Forecast</c:v>
                </c:pt>
                <c:pt idx="6">
                  <c:v>2022-23
Target</c:v>
                </c:pt>
              </c:strCache>
            </c:strRef>
          </c:cat>
          <c:val>
            <c:numRef>
              <c:f>'White BP3 charts'!$M$9:$M$15</c:f>
              <c:numCache>
                <c:formatCode>General</c:formatCode>
                <c:ptCount val="7"/>
                <c:pt idx="6">
                  <c:v>60</c:v>
                </c:pt>
              </c:numCache>
            </c:numRef>
          </c:val>
          <c:smooth val="0"/>
          <c:extLst>
            <c:ext xmlns:c16="http://schemas.microsoft.com/office/drawing/2014/chart" uri="{C3380CC4-5D6E-409C-BE32-E72D297353CC}">
              <c16:uniqueId val="{00000002-DA72-4804-A6C1-24E890729A4F}"/>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Number</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charts'!$K$54</c:f>
              <c:strCache>
                <c:ptCount val="1"/>
                <c:pt idx="0">
                  <c:v>%</c:v>
                </c:pt>
              </c:strCache>
            </c:strRef>
          </c:tx>
          <c:spPr>
            <a:ln w="28575" cap="rnd">
              <a:solidFill>
                <a:srgbClr val="00426F"/>
              </a:solidFill>
              <a:round/>
            </a:ln>
            <a:effectLst/>
          </c:spPr>
          <c:marker>
            <c:symbol val="none"/>
          </c:marker>
          <c:cat>
            <c:strRef>
              <c:f>'Mauve BP3 charts'!$J$55:$J$60</c:f>
              <c:strCache>
                <c:ptCount val="6"/>
                <c:pt idx="0">
                  <c:v>2018-19
Actual</c:v>
                </c:pt>
                <c:pt idx="1">
                  <c:v>2019-20
Actual</c:v>
                </c:pt>
                <c:pt idx="2">
                  <c:v>2020-21
Forecast</c:v>
                </c:pt>
                <c:pt idx="3">
                  <c:v>2021-22
Forecast</c:v>
                </c:pt>
                <c:pt idx="4">
                  <c:v>2022-23
Forecast</c:v>
                </c:pt>
                <c:pt idx="5">
                  <c:v>2023-24
Target</c:v>
                </c:pt>
              </c:strCache>
            </c:strRef>
          </c:cat>
          <c:val>
            <c:numRef>
              <c:f>'Mauve BP3 charts'!$K$55:$K$60</c:f>
              <c:numCache>
                <c:formatCode>General</c:formatCode>
                <c:ptCount val="6"/>
                <c:pt idx="0">
                  <c:v>69.400000000000006</c:v>
                </c:pt>
                <c:pt idx="1">
                  <c:v>75.400000000000006</c:v>
                </c:pt>
              </c:numCache>
            </c:numRef>
          </c:val>
          <c:smooth val="0"/>
          <c:extLst>
            <c:ext xmlns:c16="http://schemas.microsoft.com/office/drawing/2014/chart" uri="{C3380CC4-5D6E-409C-BE32-E72D297353CC}">
              <c16:uniqueId val="{00000000-F372-4665-A5F8-69560DCCC11A}"/>
            </c:ext>
          </c:extLst>
        </c:ser>
        <c:ser>
          <c:idx val="1"/>
          <c:order val="1"/>
          <c:tx>
            <c:strRef>
              <c:f>'Mauve BP3 charts'!$L$54</c:f>
              <c:strCache>
                <c:ptCount val="1"/>
                <c:pt idx="0">
                  <c:v>%</c:v>
                </c:pt>
              </c:strCache>
            </c:strRef>
          </c:tx>
          <c:spPr>
            <a:ln w="28575" cap="rnd">
              <a:solidFill>
                <a:srgbClr val="00426F"/>
              </a:solidFill>
              <a:prstDash val="dash"/>
              <a:round/>
            </a:ln>
            <a:effectLst/>
          </c:spPr>
          <c:marker>
            <c:symbol val="none"/>
          </c:marker>
          <c:cat>
            <c:strRef>
              <c:f>'Mauve BP3 charts'!$J$55:$J$60</c:f>
              <c:strCache>
                <c:ptCount val="6"/>
                <c:pt idx="0">
                  <c:v>2018-19
Actual</c:v>
                </c:pt>
                <c:pt idx="1">
                  <c:v>2019-20
Actual</c:v>
                </c:pt>
                <c:pt idx="2">
                  <c:v>2020-21
Forecast</c:v>
                </c:pt>
                <c:pt idx="3">
                  <c:v>2021-22
Forecast</c:v>
                </c:pt>
                <c:pt idx="4">
                  <c:v>2022-23
Forecast</c:v>
                </c:pt>
                <c:pt idx="5">
                  <c:v>2023-24
Target</c:v>
                </c:pt>
              </c:strCache>
            </c:strRef>
          </c:cat>
          <c:val>
            <c:numRef>
              <c:f>'Mauve BP3 charts'!$L$55:$L$60</c:f>
              <c:numCache>
                <c:formatCode>General</c:formatCode>
                <c:ptCount val="6"/>
                <c:pt idx="1">
                  <c:v>75.400000000000006</c:v>
                </c:pt>
                <c:pt idx="2">
                  <c:v>75.400000000000006</c:v>
                </c:pt>
                <c:pt idx="3">
                  <c:v>75</c:v>
                </c:pt>
                <c:pt idx="4">
                  <c:v>77.5</c:v>
                </c:pt>
              </c:numCache>
            </c:numRef>
          </c:val>
          <c:smooth val="0"/>
          <c:extLst>
            <c:ext xmlns:c16="http://schemas.microsoft.com/office/drawing/2014/chart" uri="{C3380CC4-5D6E-409C-BE32-E72D297353CC}">
              <c16:uniqueId val="{00000001-F372-4665-A5F8-69560DCCC11A}"/>
            </c:ext>
          </c:extLst>
        </c:ser>
        <c:ser>
          <c:idx val="2"/>
          <c:order val="2"/>
          <c:tx>
            <c:strRef>
              <c:f>'Mauve BP3 charts'!$M$54</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charts'!$J$55:$J$60</c:f>
              <c:strCache>
                <c:ptCount val="6"/>
                <c:pt idx="0">
                  <c:v>2018-19
Actual</c:v>
                </c:pt>
                <c:pt idx="1">
                  <c:v>2019-20
Actual</c:v>
                </c:pt>
                <c:pt idx="2">
                  <c:v>2020-21
Forecast</c:v>
                </c:pt>
                <c:pt idx="3">
                  <c:v>2021-22
Forecast</c:v>
                </c:pt>
                <c:pt idx="4">
                  <c:v>2022-23
Forecast</c:v>
                </c:pt>
                <c:pt idx="5">
                  <c:v>2023-24
Target</c:v>
                </c:pt>
              </c:strCache>
            </c:strRef>
          </c:cat>
          <c:val>
            <c:numRef>
              <c:f>'Mauve BP3 charts'!$M$55:$M$60</c:f>
              <c:numCache>
                <c:formatCode>General</c:formatCode>
                <c:ptCount val="6"/>
                <c:pt idx="5">
                  <c:v>80</c:v>
                </c:pt>
              </c:numCache>
            </c:numRef>
          </c:val>
          <c:smooth val="0"/>
          <c:extLst>
            <c:ext xmlns:c16="http://schemas.microsoft.com/office/drawing/2014/chart" uri="{C3380CC4-5D6E-409C-BE32-E72D297353CC}">
              <c16:uniqueId val="{00000002-F372-4665-A5F8-69560DCCC11A}"/>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charts'!$K$84</c:f>
              <c:strCache>
                <c:ptCount val="1"/>
                <c:pt idx="0">
                  <c:v>Geographic</c:v>
                </c:pt>
              </c:strCache>
            </c:strRef>
          </c:tx>
          <c:spPr>
            <a:ln w="28575" cap="rnd">
              <a:solidFill>
                <a:srgbClr val="00426F"/>
              </a:solidFill>
              <a:round/>
            </a:ln>
            <a:effectLst/>
          </c:spPr>
          <c:marker>
            <c:symbol val="none"/>
          </c:marker>
          <c:cat>
            <c:strRef>
              <c:f>'White BP3 charts'!$J$87:$J$91</c:f>
              <c:strCache>
                <c:ptCount val="5"/>
                <c:pt idx="0">
                  <c:v>2018-19
Actual</c:v>
                </c:pt>
                <c:pt idx="1">
                  <c:v>2019-20
Actual</c:v>
                </c:pt>
                <c:pt idx="2">
                  <c:v>2020-21
Forecast</c:v>
                </c:pt>
                <c:pt idx="3">
                  <c:v>2021-22
Forecast</c:v>
                </c:pt>
                <c:pt idx="4">
                  <c:v>2022-23
Forecast</c:v>
                </c:pt>
              </c:strCache>
            </c:strRef>
          </c:cat>
          <c:val>
            <c:numRef>
              <c:f>'White BP3 charts'!$K$87:$K$91</c:f>
              <c:numCache>
                <c:formatCode>General</c:formatCode>
                <c:ptCount val="5"/>
                <c:pt idx="0">
                  <c:v>31</c:v>
                </c:pt>
                <c:pt idx="1">
                  <c:v>40</c:v>
                </c:pt>
              </c:numCache>
            </c:numRef>
          </c:val>
          <c:smooth val="0"/>
          <c:extLst>
            <c:ext xmlns:c16="http://schemas.microsoft.com/office/drawing/2014/chart" uri="{C3380CC4-5D6E-409C-BE32-E72D297353CC}">
              <c16:uniqueId val="{00000000-9EC4-408D-859F-2278D44F3A7A}"/>
            </c:ext>
          </c:extLst>
        </c:ser>
        <c:ser>
          <c:idx val="1"/>
          <c:order val="1"/>
          <c:tx>
            <c:strRef>
              <c:f>'White BP3 charts'!$L$84</c:f>
              <c:strCache>
                <c:ptCount val="1"/>
                <c:pt idx="0">
                  <c:v>Geographic</c:v>
                </c:pt>
              </c:strCache>
            </c:strRef>
          </c:tx>
          <c:spPr>
            <a:ln w="28575" cap="rnd">
              <a:solidFill>
                <a:srgbClr val="00426F"/>
              </a:solidFill>
              <a:prstDash val="dash"/>
              <a:round/>
            </a:ln>
            <a:effectLst/>
          </c:spPr>
          <c:marker>
            <c:symbol val="none"/>
          </c:marker>
          <c:cat>
            <c:strRef>
              <c:f>'White BP3 charts'!$J$87:$J$91</c:f>
              <c:strCache>
                <c:ptCount val="5"/>
                <c:pt idx="0">
                  <c:v>2018-19
Actual</c:v>
                </c:pt>
                <c:pt idx="1">
                  <c:v>2019-20
Actual</c:v>
                </c:pt>
                <c:pt idx="2">
                  <c:v>2020-21
Forecast</c:v>
                </c:pt>
                <c:pt idx="3">
                  <c:v>2021-22
Forecast</c:v>
                </c:pt>
                <c:pt idx="4">
                  <c:v>2022-23
Forecast</c:v>
                </c:pt>
              </c:strCache>
            </c:strRef>
          </c:cat>
          <c:val>
            <c:numRef>
              <c:f>'White BP3 charts'!$L$87:$L$91</c:f>
              <c:numCache>
                <c:formatCode>General</c:formatCode>
                <c:ptCount val="5"/>
                <c:pt idx="1">
                  <c:v>40</c:v>
                </c:pt>
                <c:pt idx="2">
                  <c:v>40</c:v>
                </c:pt>
                <c:pt idx="3">
                  <c:v>40</c:v>
                </c:pt>
                <c:pt idx="4">
                  <c:v>40</c:v>
                </c:pt>
              </c:numCache>
            </c:numRef>
          </c:val>
          <c:smooth val="0"/>
          <c:extLst>
            <c:ext xmlns:c16="http://schemas.microsoft.com/office/drawing/2014/chart" uri="{C3380CC4-5D6E-409C-BE32-E72D297353CC}">
              <c16:uniqueId val="{00000001-9EC4-408D-859F-2278D44F3A7A}"/>
            </c:ext>
          </c:extLst>
        </c:ser>
        <c:ser>
          <c:idx val="2"/>
          <c:order val="2"/>
          <c:tx>
            <c:strRef>
              <c:f>'White BP3 charts'!$M$84</c:f>
              <c:strCache>
                <c:ptCount val="1"/>
                <c:pt idx="0">
                  <c:v>Geographic</c:v>
                </c:pt>
              </c:strCache>
            </c:strRef>
          </c:tx>
          <c:spPr>
            <a:ln w="28575" cap="rnd">
              <a:noFill/>
              <a:round/>
            </a:ln>
            <a:effectLst/>
          </c:spPr>
          <c:marker>
            <c:symbol val="diamond"/>
            <c:size val="9"/>
            <c:spPr>
              <a:solidFill>
                <a:srgbClr val="00426F"/>
              </a:solidFill>
              <a:ln w="9525">
                <a:noFill/>
              </a:ln>
              <a:effectLst/>
            </c:spPr>
          </c:marker>
          <c:cat>
            <c:strRef>
              <c:f>'White BP3 charts'!$J$87:$J$91</c:f>
              <c:strCache>
                <c:ptCount val="5"/>
                <c:pt idx="0">
                  <c:v>2018-19
Actual</c:v>
                </c:pt>
                <c:pt idx="1">
                  <c:v>2019-20
Actual</c:v>
                </c:pt>
                <c:pt idx="2">
                  <c:v>2020-21
Forecast</c:v>
                </c:pt>
                <c:pt idx="3">
                  <c:v>2021-22
Forecast</c:v>
                </c:pt>
                <c:pt idx="4">
                  <c:v>2022-23
Forecast</c:v>
                </c:pt>
              </c:strCache>
            </c:strRef>
          </c:cat>
          <c:val>
            <c:numRef>
              <c:f>'White BP3 charts'!$M$87:$M$91</c:f>
              <c:numCache>
                <c:formatCode>General</c:formatCode>
                <c:ptCount val="5"/>
              </c:numCache>
            </c:numRef>
          </c:val>
          <c:smooth val="0"/>
          <c:extLst>
            <c:ext xmlns:c16="http://schemas.microsoft.com/office/drawing/2014/chart" uri="{C3380CC4-5D6E-409C-BE32-E72D297353CC}">
              <c16:uniqueId val="{00000002-9EC4-408D-859F-2278D44F3A7A}"/>
            </c:ext>
          </c:extLst>
        </c:ser>
        <c:ser>
          <c:idx val="3"/>
          <c:order val="3"/>
          <c:tx>
            <c:strRef>
              <c:f>'White BP3 charts'!$N$84</c:f>
              <c:strCache>
                <c:ptCount val="1"/>
                <c:pt idx="0">
                  <c:v>Operational</c:v>
                </c:pt>
              </c:strCache>
            </c:strRef>
          </c:tx>
          <c:spPr>
            <a:ln w="28575" cap="rnd">
              <a:solidFill>
                <a:srgbClr val="008EBA"/>
              </a:solidFill>
              <a:round/>
            </a:ln>
            <a:effectLst/>
          </c:spPr>
          <c:marker>
            <c:symbol val="none"/>
          </c:marker>
          <c:cat>
            <c:strRef>
              <c:f>'White BP3 charts'!$J$87:$J$91</c:f>
              <c:strCache>
                <c:ptCount val="5"/>
                <c:pt idx="0">
                  <c:v>2018-19
Actual</c:v>
                </c:pt>
                <c:pt idx="1">
                  <c:v>2019-20
Actual</c:v>
                </c:pt>
                <c:pt idx="2">
                  <c:v>2020-21
Forecast</c:v>
                </c:pt>
                <c:pt idx="3">
                  <c:v>2021-22
Forecast</c:v>
                </c:pt>
                <c:pt idx="4">
                  <c:v>2022-23
Forecast</c:v>
                </c:pt>
              </c:strCache>
            </c:strRef>
          </c:cat>
          <c:val>
            <c:numRef>
              <c:f>'White BP3 charts'!$N$87:$N$91</c:f>
              <c:numCache>
                <c:formatCode>General</c:formatCode>
                <c:ptCount val="5"/>
                <c:pt idx="0">
                  <c:v>99.95</c:v>
                </c:pt>
                <c:pt idx="1">
                  <c:v>99.95</c:v>
                </c:pt>
              </c:numCache>
            </c:numRef>
          </c:val>
          <c:smooth val="0"/>
          <c:extLst>
            <c:ext xmlns:c16="http://schemas.microsoft.com/office/drawing/2014/chart" uri="{C3380CC4-5D6E-409C-BE32-E72D297353CC}">
              <c16:uniqueId val="{00000003-9EC4-408D-859F-2278D44F3A7A}"/>
            </c:ext>
          </c:extLst>
        </c:ser>
        <c:ser>
          <c:idx val="4"/>
          <c:order val="4"/>
          <c:tx>
            <c:strRef>
              <c:f>'White BP3 charts'!$O$84</c:f>
              <c:strCache>
                <c:ptCount val="1"/>
                <c:pt idx="0">
                  <c:v>Operational</c:v>
                </c:pt>
              </c:strCache>
            </c:strRef>
          </c:tx>
          <c:spPr>
            <a:ln w="28575" cap="rnd">
              <a:solidFill>
                <a:srgbClr val="008EBA"/>
              </a:solidFill>
              <a:prstDash val="dash"/>
              <a:round/>
            </a:ln>
            <a:effectLst/>
          </c:spPr>
          <c:marker>
            <c:symbol val="none"/>
          </c:marker>
          <c:cat>
            <c:strRef>
              <c:f>'White BP3 charts'!$J$87:$J$91</c:f>
              <c:strCache>
                <c:ptCount val="5"/>
                <c:pt idx="0">
                  <c:v>2018-19
Actual</c:v>
                </c:pt>
                <c:pt idx="1">
                  <c:v>2019-20
Actual</c:v>
                </c:pt>
                <c:pt idx="2">
                  <c:v>2020-21
Forecast</c:v>
                </c:pt>
                <c:pt idx="3">
                  <c:v>2021-22
Forecast</c:v>
                </c:pt>
                <c:pt idx="4">
                  <c:v>2022-23
Forecast</c:v>
                </c:pt>
              </c:strCache>
            </c:strRef>
          </c:cat>
          <c:val>
            <c:numRef>
              <c:f>'White BP3 charts'!$O$87:$O$91</c:f>
              <c:numCache>
                <c:formatCode>General</c:formatCode>
                <c:ptCount val="5"/>
                <c:pt idx="1">
                  <c:v>99.95</c:v>
                </c:pt>
                <c:pt idx="2">
                  <c:v>99.95</c:v>
                </c:pt>
                <c:pt idx="3">
                  <c:v>99.95</c:v>
                </c:pt>
                <c:pt idx="4">
                  <c:v>99.95</c:v>
                </c:pt>
              </c:numCache>
            </c:numRef>
          </c:val>
          <c:smooth val="0"/>
          <c:extLst>
            <c:ext xmlns:c16="http://schemas.microsoft.com/office/drawing/2014/chart" uri="{C3380CC4-5D6E-409C-BE32-E72D297353CC}">
              <c16:uniqueId val="{00000004-9EC4-408D-859F-2278D44F3A7A}"/>
            </c:ext>
          </c:extLst>
        </c:ser>
        <c:ser>
          <c:idx val="5"/>
          <c:order val="5"/>
          <c:tx>
            <c:strRef>
              <c:f>'White BP3 charts'!$P$84</c:f>
              <c:strCache>
                <c:ptCount val="1"/>
                <c:pt idx="0">
                  <c:v>Operational</c:v>
                </c:pt>
              </c:strCache>
            </c:strRef>
          </c:tx>
          <c:spPr>
            <a:ln w="28575" cap="rnd">
              <a:noFill/>
              <a:round/>
            </a:ln>
            <a:effectLst/>
          </c:spPr>
          <c:marker>
            <c:symbol val="diamond"/>
            <c:size val="9"/>
            <c:spPr>
              <a:solidFill>
                <a:srgbClr val="008EBA"/>
              </a:solidFill>
              <a:ln w="9525">
                <a:noFill/>
              </a:ln>
              <a:effectLst/>
            </c:spPr>
          </c:marker>
          <c:cat>
            <c:strRef>
              <c:f>'White BP3 charts'!$J$87:$J$91</c:f>
              <c:strCache>
                <c:ptCount val="5"/>
                <c:pt idx="0">
                  <c:v>2018-19
Actual</c:v>
                </c:pt>
                <c:pt idx="1">
                  <c:v>2019-20
Actual</c:v>
                </c:pt>
                <c:pt idx="2">
                  <c:v>2020-21
Forecast</c:v>
                </c:pt>
                <c:pt idx="3">
                  <c:v>2021-22
Forecast</c:v>
                </c:pt>
                <c:pt idx="4">
                  <c:v>2022-23
Forecast</c:v>
                </c:pt>
              </c:strCache>
            </c:strRef>
          </c:cat>
          <c:val>
            <c:numRef>
              <c:f>'White BP3 charts'!$P$87:$P$91</c:f>
              <c:numCache>
                <c:formatCode>General</c:formatCode>
                <c:ptCount val="5"/>
              </c:numCache>
            </c:numRef>
          </c:val>
          <c:smooth val="0"/>
          <c:extLst>
            <c:ext xmlns:c16="http://schemas.microsoft.com/office/drawing/2014/chart" uri="{C3380CC4-5D6E-409C-BE32-E72D297353CC}">
              <c16:uniqueId val="{00000005-9EC4-408D-859F-2278D44F3A7A}"/>
            </c:ext>
          </c:extLst>
        </c:ser>
        <c:ser>
          <c:idx val="6"/>
          <c:order val="6"/>
          <c:tx>
            <c:strRef>
              <c:f>'White BP3 charts'!$Q$84</c:f>
              <c:strCache>
                <c:ptCount val="1"/>
                <c:pt idx="0">
                  <c:v>Population</c:v>
                </c:pt>
              </c:strCache>
            </c:strRef>
          </c:tx>
          <c:spPr>
            <a:ln w="28575" cap="rnd">
              <a:solidFill>
                <a:srgbClr val="50C8E9"/>
              </a:solidFill>
              <a:round/>
            </a:ln>
            <a:effectLst/>
          </c:spPr>
          <c:marker>
            <c:symbol val="none"/>
          </c:marker>
          <c:cat>
            <c:strRef>
              <c:f>'White BP3 charts'!$J$87:$J$91</c:f>
              <c:strCache>
                <c:ptCount val="5"/>
                <c:pt idx="0">
                  <c:v>2018-19
Actual</c:v>
                </c:pt>
                <c:pt idx="1">
                  <c:v>2019-20
Actual</c:v>
                </c:pt>
                <c:pt idx="2">
                  <c:v>2020-21
Forecast</c:v>
                </c:pt>
                <c:pt idx="3">
                  <c:v>2021-22
Forecast</c:v>
                </c:pt>
                <c:pt idx="4">
                  <c:v>2022-23
Forecast</c:v>
                </c:pt>
              </c:strCache>
            </c:strRef>
          </c:cat>
          <c:val>
            <c:numRef>
              <c:f>'White BP3 charts'!$Q$87:$Q$91</c:f>
              <c:numCache>
                <c:formatCode>General</c:formatCode>
                <c:ptCount val="5"/>
                <c:pt idx="0">
                  <c:v>87</c:v>
                </c:pt>
                <c:pt idx="1">
                  <c:v>93</c:v>
                </c:pt>
              </c:numCache>
            </c:numRef>
          </c:val>
          <c:smooth val="0"/>
          <c:extLst>
            <c:ext xmlns:c16="http://schemas.microsoft.com/office/drawing/2014/chart" uri="{C3380CC4-5D6E-409C-BE32-E72D297353CC}">
              <c16:uniqueId val="{00000006-9EC4-408D-859F-2278D44F3A7A}"/>
            </c:ext>
          </c:extLst>
        </c:ser>
        <c:ser>
          <c:idx val="7"/>
          <c:order val="7"/>
          <c:tx>
            <c:strRef>
              <c:f>'White BP3 charts'!$R$84</c:f>
              <c:strCache>
                <c:ptCount val="1"/>
                <c:pt idx="0">
                  <c:v>Population</c:v>
                </c:pt>
              </c:strCache>
            </c:strRef>
          </c:tx>
          <c:spPr>
            <a:ln w="28575" cap="rnd">
              <a:solidFill>
                <a:srgbClr val="50C8E9"/>
              </a:solidFill>
              <a:prstDash val="dash"/>
              <a:round/>
            </a:ln>
            <a:effectLst/>
          </c:spPr>
          <c:marker>
            <c:symbol val="none"/>
          </c:marker>
          <c:cat>
            <c:strRef>
              <c:f>'White BP3 charts'!$J$87:$J$91</c:f>
              <c:strCache>
                <c:ptCount val="5"/>
                <c:pt idx="0">
                  <c:v>2018-19
Actual</c:v>
                </c:pt>
                <c:pt idx="1">
                  <c:v>2019-20
Actual</c:v>
                </c:pt>
                <c:pt idx="2">
                  <c:v>2020-21
Forecast</c:v>
                </c:pt>
                <c:pt idx="3">
                  <c:v>2021-22
Forecast</c:v>
                </c:pt>
                <c:pt idx="4">
                  <c:v>2022-23
Forecast</c:v>
                </c:pt>
              </c:strCache>
            </c:strRef>
          </c:cat>
          <c:val>
            <c:numRef>
              <c:f>'White BP3 charts'!$R$87:$R$91</c:f>
              <c:numCache>
                <c:formatCode>General</c:formatCode>
                <c:ptCount val="5"/>
                <c:pt idx="1">
                  <c:v>93</c:v>
                </c:pt>
                <c:pt idx="2">
                  <c:v>93</c:v>
                </c:pt>
                <c:pt idx="3">
                  <c:v>93</c:v>
                </c:pt>
                <c:pt idx="4">
                  <c:v>93</c:v>
                </c:pt>
              </c:numCache>
            </c:numRef>
          </c:val>
          <c:smooth val="0"/>
          <c:extLst>
            <c:ext xmlns:c16="http://schemas.microsoft.com/office/drawing/2014/chart" uri="{C3380CC4-5D6E-409C-BE32-E72D297353CC}">
              <c16:uniqueId val="{00000007-9EC4-408D-859F-2278D44F3A7A}"/>
            </c:ext>
          </c:extLst>
        </c:ser>
        <c:ser>
          <c:idx val="8"/>
          <c:order val="8"/>
          <c:tx>
            <c:strRef>
              <c:f>'White BP3 charts'!$S$84</c:f>
              <c:strCache>
                <c:ptCount val="1"/>
                <c:pt idx="0">
                  <c:v>Population</c:v>
                </c:pt>
              </c:strCache>
            </c:strRef>
          </c:tx>
          <c:spPr>
            <a:ln w="28575" cap="rnd">
              <a:solidFill>
                <a:schemeClr val="accent3">
                  <a:lumMod val="60000"/>
                </a:schemeClr>
              </a:solidFill>
              <a:round/>
            </a:ln>
            <a:effectLst/>
          </c:spPr>
          <c:marker>
            <c:symbol val="none"/>
          </c:marker>
          <c:cat>
            <c:strRef>
              <c:f>'White BP3 charts'!$J$87:$J$91</c:f>
              <c:strCache>
                <c:ptCount val="5"/>
                <c:pt idx="0">
                  <c:v>2018-19
Actual</c:v>
                </c:pt>
                <c:pt idx="1">
                  <c:v>2019-20
Actual</c:v>
                </c:pt>
                <c:pt idx="2">
                  <c:v>2020-21
Forecast</c:v>
                </c:pt>
                <c:pt idx="3">
                  <c:v>2021-22
Forecast</c:v>
                </c:pt>
                <c:pt idx="4">
                  <c:v>2022-23
Forecast</c:v>
                </c:pt>
              </c:strCache>
            </c:strRef>
          </c:cat>
          <c:val>
            <c:numRef>
              <c:f>'White BP3 charts'!$S$87:$S$91</c:f>
              <c:numCache>
                <c:formatCode>General</c:formatCode>
                <c:ptCount val="5"/>
              </c:numCache>
            </c:numRef>
          </c:val>
          <c:smooth val="0"/>
          <c:extLst>
            <c:ext xmlns:c16="http://schemas.microsoft.com/office/drawing/2014/chart" uri="{C3380CC4-5D6E-409C-BE32-E72D297353CC}">
              <c16:uniqueId val="{00000008-9EC4-408D-859F-2278D44F3A7A}"/>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egendEntry>
        <c:idx val="7"/>
        <c:delete val="1"/>
      </c:legendEntry>
      <c:legendEntry>
        <c:idx val="8"/>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496045893286134E-2"/>
          <c:y val="4.582901907903713E-2"/>
          <c:w val="0.86566185476815394"/>
          <c:h val="0.70103200641586472"/>
        </c:manualLayout>
      </c:layout>
      <c:lineChart>
        <c:grouping val="standard"/>
        <c:varyColors val="0"/>
        <c:ser>
          <c:idx val="0"/>
          <c:order val="0"/>
          <c:tx>
            <c:strRef>
              <c:f>'White BP3 charts'!$K$108</c:f>
              <c:strCache>
                <c:ptCount val="1"/>
                <c:pt idx="0">
                  <c:v>New South Wales</c:v>
                </c:pt>
              </c:strCache>
            </c:strRef>
          </c:tx>
          <c:spPr>
            <a:ln w="28575" cap="rnd">
              <a:solidFill>
                <a:srgbClr val="00426F"/>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charts'!$K$111:$K$114</c:f>
              <c:numCache>
                <c:formatCode>General</c:formatCode>
                <c:ptCount val="4"/>
                <c:pt idx="0">
                  <c:v>9.4</c:v>
                </c:pt>
                <c:pt idx="1">
                  <c:v>9.1999999999999993</c:v>
                </c:pt>
                <c:pt idx="2">
                  <c:v>9.4</c:v>
                </c:pt>
                <c:pt idx="3">
                  <c:v>9.6999999999999993</c:v>
                </c:pt>
              </c:numCache>
            </c:numRef>
          </c:val>
          <c:smooth val="0"/>
          <c:extLst>
            <c:ext xmlns:c16="http://schemas.microsoft.com/office/drawing/2014/chart" uri="{C3380CC4-5D6E-409C-BE32-E72D297353CC}">
              <c16:uniqueId val="{00000000-43A5-444A-A8AD-F7BEEF6295FB}"/>
            </c:ext>
          </c:extLst>
        </c:ser>
        <c:ser>
          <c:idx val="1"/>
          <c:order val="1"/>
          <c:tx>
            <c:strRef>
              <c:f>'White BP3 charts'!$L$108</c:f>
              <c:strCache>
                <c:ptCount val="1"/>
                <c:pt idx="0">
                  <c:v>New South Wales</c:v>
                </c:pt>
              </c:strCache>
            </c:strRef>
          </c:tx>
          <c:spPr>
            <a:ln w="28575" cap="rnd">
              <a:solidFill>
                <a:srgbClr val="00426F"/>
              </a:solidFill>
              <a:prstDash val="dash"/>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charts'!$L$111:$L$114</c:f>
              <c:numCache>
                <c:formatCode>General</c:formatCode>
                <c:ptCount val="4"/>
              </c:numCache>
            </c:numRef>
          </c:val>
          <c:smooth val="0"/>
          <c:extLst>
            <c:ext xmlns:c16="http://schemas.microsoft.com/office/drawing/2014/chart" uri="{C3380CC4-5D6E-409C-BE32-E72D297353CC}">
              <c16:uniqueId val="{00000001-43A5-444A-A8AD-F7BEEF6295FB}"/>
            </c:ext>
          </c:extLst>
        </c:ser>
        <c:ser>
          <c:idx val="2"/>
          <c:order val="2"/>
          <c:tx>
            <c:strRef>
              <c:f>'White BP3 charts'!$M$108</c:f>
              <c:strCache>
                <c:ptCount val="1"/>
                <c:pt idx="0">
                  <c:v>New South Wales</c:v>
                </c:pt>
              </c:strCache>
            </c:strRef>
          </c:tx>
          <c:spPr>
            <a:ln w="28575" cap="rnd">
              <a:noFill/>
              <a:round/>
            </a:ln>
            <a:effectLst/>
          </c:spPr>
          <c:marker>
            <c:symbol val="diamond"/>
            <c:size val="9"/>
            <c:spPr>
              <a:solidFill>
                <a:srgbClr val="00426F"/>
              </a:solidFill>
              <a:ln w="9525">
                <a:noFill/>
              </a:ln>
              <a:effectLst/>
            </c:spPr>
          </c:marker>
          <c:cat>
            <c:strRef>
              <c:f>'White BP3 charts'!$J$111:$J$114</c:f>
              <c:strCache>
                <c:ptCount val="4"/>
                <c:pt idx="0">
                  <c:v>2016-17
Actual</c:v>
                </c:pt>
                <c:pt idx="1">
                  <c:v>2017-18
Actual</c:v>
                </c:pt>
                <c:pt idx="2">
                  <c:v>2018-19
Actual</c:v>
                </c:pt>
                <c:pt idx="3">
                  <c:v>2019-20
Actual</c:v>
                </c:pt>
              </c:strCache>
            </c:strRef>
          </c:cat>
          <c:val>
            <c:numRef>
              <c:f>'White BP3 charts'!$M$111:$M$114</c:f>
              <c:numCache>
                <c:formatCode>General</c:formatCode>
                <c:ptCount val="4"/>
              </c:numCache>
            </c:numRef>
          </c:val>
          <c:smooth val="0"/>
          <c:extLst>
            <c:ext xmlns:c16="http://schemas.microsoft.com/office/drawing/2014/chart" uri="{C3380CC4-5D6E-409C-BE32-E72D297353CC}">
              <c16:uniqueId val="{00000002-43A5-444A-A8AD-F7BEEF6295FB}"/>
            </c:ext>
          </c:extLst>
        </c:ser>
        <c:ser>
          <c:idx val="3"/>
          <c:order val="3"/>
          <c:tx>
            <c:strRef>
              <c:f>'White BP3 charts'!$N$108</c:f>
              <c:strCache>
                <c:ptCount val="1"/>
                <c:pt idx="0">
                  <c:v>Australian Capital Territory</c:v>
                </c:pt>
              </c:strCache>
            </c:strRef>
          </c:tx>
          <c:spPr>
            <a:ln w="28575" cap="rnd">
              <a:solidFill>
                <a:srgbClr val="008EBA"/>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charts'!$N$111:$N$114</c:f>
              <c:numCache>
                <c:formatCode>General</c:formatCode>
                <c:ptCount val="4"/>
                <c:pt idx="0">
                  <c:v>5.0999999999999996</c:v>
                </c:pt>
                <c:pt idx="1">
                  <c:v>6.3</c:v>
                </c:pt>
                <c:pt idx="2">
                  <c:v>7.5</c:v>
                </c:pt>
                <c:pt idx="3">
                  <c:v>7.9</c:v>
                </c:pt>
              </c:numCache>
            </c:numRef>
          </c:val>
          <c:smooth val="0"/>
          <c:extLst>
            <c:ext xmlns:c16="http://schemas.microsoft.com/office/drawing/2014/chart" uri="{C3380CC4-5D6E-409C-BE32-E72D297353CC}">
              <c16:uniqueId val="{00000003-43A5-444A-A8AD-F7BEEF6295FB}"/>
            </c:ext>
          </c:extLst>
        </c:ser>
        <c:ser>
          <c:idx val="4"/>
          <c:order val="4"/>
          <c:tx>
            <c:strRef>
              <c:f>'White BP3 charts'!$O$108</c:f>
              <c:strCache>
                <c:ptCount val="1"/>
                <c:pt idx="0">
                  <c:v>Australian Capital Territory</c:v>
                </c:pt>
              </c:strCache>
            </c:strRef>
          </c:tx>
          <c:spPr>
            <a:ln w="28575" cap="rnd">
              <a:solidFill>
                <a:srgbClr val="008EBA"/>
              </a:solidFill>
              <a:prstDash val="dash"/>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charts'!$O$111:$O$114</c:f>
              <c:numCache>
                <c:formatCode>General</c:formatCode>
                <c:ptCount val="4"/>
              </c:numCache>
            </c:numRef>
          </c:val>
          <c:smooth val="0"/>
          <c:extLst>
            <c:ext xmlns:c16="http://schemas.microsoft.com/office/drawing/2014/chart" uri="{C3380CC4-5D6E-409C-BE32-E72D297353CC}">
              <c16:uniqueId val="{00000004-43A5-444A-A8AD-F7BEEF6295FB}"/>
            </c:ext>
          </c:extLst>
        </c:ser>
        <c:ser>
          <c:idx val="5"/>
          <c:order val="5"/>
          <c:tx>
            <c:strRef>
              <c:f>'White BP3 charts'!$P$108</c:f>
              <c:strCache>
                <c:ptCount val="1"/>
                <c:pt idx="0">
                  <c:v>Australian Capital Territory</c:v>
                </c:pt>
              </c:strCache>
            </c:strRef>
          </c:tx>
          <c:spPr>
            <a:ln w="28575" cap="rnd">
              <a:noFill/>
              <a:round/>
            </a:ln>
            <a:effectLst/>
          </c:spPr>
          <c:marker>
            <c:symbol val="diamond"/>
            <c:size val="9"/>
            <c:spPr>
              <a:solidFill>
                <a:srgbClr val="008EBA"/>
              </a:solidFill>
              <a:ln w="9525">
                <a:noFill/>
              </a:ln>
              <a:effectLst/>
            </c:spPr>
          </c:marker>
          <c:cat>
            <c:strRef>
              <c:f>'White BP3 charts'!$J$111:$J$114</c:f>
              <c:strCache>
                <c:ptCount val="4"/>
                <c:pt idx="0">
                  <c:v>2016-17
Actual</c:v>
                </c:pt>
                <c:pt idx="1">
                  <c:v>2017-18
Actual</c:v>
                </c:pt>
                <c:pt idx="2">
                  <c:v>2018-19
Actual</c:v>
                </c:pt>
                <c:pt idx="3">
                  <c:v>2019-20
Actual</c:v>
                </c:pt>
              </c:strCache>
            </c:strRef>
          </c:cat>
          <c:val>
            <c:numRef>
              <c:f>'White BP3 charts'!$P$111:$P$114</c:f>
              <c:numCache>
                <c:formatCode>General</c:formatCode>
                <c:ptCount val="4"/>
              </c:numCache>
            </c:numRef>
          </c:val>
          <c:smooth val="0"/>
          <c:extLst>
            <c:ext xmlns:c16="http://schemas.microsoft.com/office/drawing/2014/chart" uri="{C3380CC4-5D6E-409C-BE32-E72D297353CC}">
              <c16:uniqueId val="{00000005-43A5-444A-A8AD-F7BEEF6295FB}"/>
            </c:ext>
          </c:extLst>
        </c:ser>
        <c:ser>
          <c:idx val="6"/>
          <c:order val="6"/>
          <c:tx>
            <c:strRef>
              <c:f>'White BP3 charts'!$Q$108</c:f>
              <c:strCache>
                <c:ptCount val="1"/>
                <c:pt idx="0">
                  <c:v>Australian Government</c:v>
                </c:pt>
              </c:strCache>
            </c:strRef>
          </c:tx>
          <c:spPr>
            <a:ln w="28575" cap="rnd">
              <a:solidFill>
                <a:srgbClr val="50C8E9"/>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charts'!$Q$111:$Q$114</c:f>
              <c:numCache>
                <c:formatCode>General</c:formatCode>
                <c:ptCount val="4"/>
                <c:pt idx="0">
                  <c:v>6.9</c:v>
                </c:pt>
                <c:pt idx="1">
                  <c:v>7.8</c:v>
                </c:pt>
                <c:pt idx="2">
                  <c:v>8.5</c:v>
                </c:pt>
                <c:pt idx="3">
                  <c:v>9.1999999999999993</c:v>
                </c:pt>
              </c:numCache>
            </c:numRef>
          </c:val>
          <c:smooth val="0"/>
          <c:extLst>
            <c:ext xmlns:c16="http://schemas.microsoft.com/office/drawing/2014/chart" uri="{C3380CC4-5D6E-409C-BE32-E72D297353CC}">
              <c16:uniqueId val="{00000006-43A5-444A-A8AD-F7BEEF6295FB}"/>
            </c:ext>
          </c:extLst>
        </c:ser>
        <c:ser>
          <c:idx val="7"/>
          <c:order val="7"/>
          <c:tx>
            <c:strRef>
              <c:f>'White BP3 charts'!$R$108</c:f>
              <c:strCache>
                <c:ptCount val="1"/>
                <c:pt idx="0">
                  <c:v>Australian Government</c:v>
                </c:pt>
              </c:strCache>
            </c:strRef>
          </c:tx>
          <c:spPr>
            <a:ln w="28575" cap="rnd">
              <a:solidFill>
                <a:schemeClr val="accent2">
                  <a:lumMod val="60000"/>
                </a:schemeClr>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charts'!$R$111:$R$114</c:f>
              <c:numCache>
                <c:formatCode>General</c:formatCode>
                <c:ptCount val="4"/>
              </c:numCache>
            </c:numRef>
          </c:val>
          <c:smooth val="0"/>
          <c:extLst>
            <c:ext xmlns:c16="http://schemas.microsoft.com/office/drawing/2014/chart" uri="{C3380CC4-5D6E-409C-BE32-E72D297353CC}">
              <c16:uniqueId val="{00000007-43A5-444A-A8AD-F7BEEF6295FB}"/>
            </c:ext>
          </c:extLst>
        </c:ser>
        <c:ser>
          <c:idx val="8"/>
          <c:order val="8"/>
          <c:tx>
            <c:strRef>
              <c:f>'White BP3 charts'!$S$108</c:f>
              <c:strCache>
                <c:ptCount val="1"/>
                <c:pt idx="0">
                  <c:v>Australian Government</c:v>
                </c:pt>
              </c:strCache>
            </c:strRef>
          </c:tx>
          <c:spPr>
            <a:ln w="28575" cap="rnd">
              <a:solidFill>
                <a:schemeClr val="accent3">
                  <a:lumMod val="60000"/>
                </a:schemeClr>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charts'!$S$111:$S$114</c:f>
              <c:numCache>
                <c:formatCode>General</c:formatCode>
                <c:ptCount val="4"/>
              </c:numCache>
            </c:numRef>
          </c:val>
          <c:smooth val="0"/>
          <c:extLst>
            <c:ext xmlns:c16="http://schemas.microsoft.com/office/drawing/2014/chart" uri="{C3380CC4-5D6E-409C-BE32-E72D297353CC}">
              <c16:uniqueId val="{00000008-43A5-444A-A8AD-F7BEEF6295FB}"/>
            </c:ext>
          </c:extLst>
        </c:ser>
        <c:ser>
          <c:idx val="9"/>
          <c:order val="9"/>
          <c:tx>
            <c:strRef>
              <c:f>'White BP3 charts'!$T$108</c:f>
              <c:strCache>
                <c:ptCount val="1"/>
                <c:pt idx="0">
                  <c:v>Northern Territory</c:v>
                </c:pt>
              </c:strCache>
            </c:strRef>
          </c:tx>
          <c:spPr>
            <a:ln w="28575" cap="rnd">
              <a:solidFill>
                <a:srgbClr val="9ACA3C"/>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charts'!$T$111:$T$114</c:f>
              <c:numCache>
                <c:formatCode>General</c:formatCode>
                <c:ptCount val="4"/>
                <c:pt idx="0">
                  <c:v>4.0999999999999996</c:v>
                </c:pt>
                <c:pt idx="1">
                  <c:v>4.5</c:v>
                </c:pt>
                <c:pt idx="2">
                  <c:v>6.3</c:v>
                </c:pt>
                <c:pt idx="3">
                  <c:v>8</c:v>
                </c:pt>
              </c:numCache>
            </c:numRef>
          </c:val>
          <c:smooth val="0"/>
          <c:extLst>
            <c:ext xmlns:c16="http://schemas.microsoft.com/office/drawing/2014/chart" uri="{C3380CC4-5D6E-409C-BE32-E72D297353CC}">
              <c16:uniqueId val="{00000009-43A5-444A-A8AD-F7BEEF6295FB}"/>
            </c:ext>
          </c:extLst>
        </c:ser>
        <c:ser>
          <c:idx val="10"/>
          <c:order val="10"/>
          <c:tx>
            <c:strRef>
              <c:f>'White BP3 charts'!$U$108</c:f>
              <c:strCache>
                <c:ptCount val="1"/>
                <c:pt idx="0">
                  <c:v>Northern Territory</c:v>
                </c:pt>
              </c:strCache>
            </c:strRef>
          </c:tx>
          <c:spPr>
            <a:ln w="28575" cap="rnd">
              <a:solidFill>
                <a:schemeClr val="accent5">
                  <a:lumMod val="60000"/>
                </a:schemeClr>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charts'!$U$111:$U$114</c:f>
              <c:numCache>
                <c:formatCode>General</c:formatCode>
                <c:ptCount val="4"/>
              </c:numCache>
            </c:numRef>
          </c:val>
          <c:smooth val="0"/>
          <c:extLst>
            <c:ext xmlns:c16="http://schemas.microsoft.com/office/drawing/2014/chart" uri="{C3380CC4-5D6E-409C-BE32-E72D297353CC}">
              <c16:uniqueId val="{0000000A-43A5-444A-A8AD-F7BEEF6295FB}"/>
            </c:ext>
          </c:extLst>
        </c:ser>
        <c:ser>
          <c:idx val="11"/>
          <c:order val="11"/>
          <c:tx>
            <c:strRef>
              <c:f>'White BP3 charts'!$V$108</c:f>
              <c:strCache>
                <c:ptCount val="1"/>
                <c:pt idx="0">
                  <c:v>Northern Territory</c:v>
                </c:pt>
              </c:strCache>
            </c:strRef>
          </c:tx>
          <c:spPr>
            <a:ln w="28575" cap="rnd">
              <a:solidFill>
                <a:schemeClr val="accent6">
                  <a:lumMod val="60000"/>
                </a:schemeClr>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charts'!$V$111:$V$114</c:f>
              <c:numCache>
                <c:formatCode>General</c:formatCode>
                <c:ptCount val="4"/>
              </c:numCache>
            </c:numRef>
          </c:val>
          <c:smooth val="0"/>
          <c:extLst>
            <c:ext xmlns:c16="http://schemas.microsoft.com/office/drawing/2014/chart" uri="{C3380CC4-5D6E-409C-BE32-E72D297353CC}">
              <c16:uniqueId val="{0000000B-43A5-444A-A8AD-F7BEEF6295FB}"/>
            </c:ext>
          </c:extLst>
        </c:ser>
        <c:ser>
          <c:idx val="12"/>
          <c:order val="12"/>
          <c:tx>
            <c:strRef>
              <c:f>'White BP3 charts'!$W$108</c:f>
              <c:strCache>
                <c:ptCount val="1"/>
                <c:pt idx="0">
                  <c:v>Queensland</c:v>
                </c:pt>
              </c:strCache>
            </c:strRef>
          </c:tx>
          <c:spPr>
            <a:ln w="28575" cap="rnd">
              <a:solidFill>
                <a:srgbClr val="009484"/>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charts'!$W$111:$W$114</c:f>
              <c:numCache>
                <c:formatCode>General</c:formatCode>
                <c:ptCount val="4"/>
                <c:pt idx="0">
                  <c:v>7.4</c:v>
                </c:pt>
                <c:pt idx="1">
                  <c:v>7.8</c:v>
                </c:pt>
                <c:pt idx="2">
                  <c:v>8.5</c:v>
                </c:pt>
                <c:pt idx="3">
                  <c:v>8.6999999999999993</c:v>
                </c:pt>
              </c:numCache>
            </c:numRef>
          </c:val>
          <c:smooth val="0"/>
          <c:extLst>
            <c:ext xmlns:c16="http://schemas.microsoft.com/office/drawing/2014/chart" uri="{C3380CC4-5D6E-409C-BE32-E72D297353CC}">
              <c16:uniqueId val="{0000000C-43A5-444A-A8AD-F7BEEF6295FB}"/>
            </c:ext>
          </c:extLst>
        </c:ser>
        <c:ser>
          <c:idx val="13"/>
          <c:order val="13"/>
          <c:tx>
            <c:strRef>
              <c:f>'White BP3 charts'!$X$108</c:f>
              <c:strCache>
                <c:ptCount val="1"/>
                <c:pt idx="0">
                  <c:v>Queensland</c:v>
                </c:pt>
              </c:strCache>
            </c:strRef>
          </c:tx>
          <c:spPr>
            <a:ln w="28575" cap="rnd">
              <a:solidFill>
                <a:schemeClr val="accent2">
                  <a:lumMod val="80000"/>
                  <a:lumOff val="20000"/>
                </a:schemeClr>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charts'!$X$111:$X$114</c:f>
              <c:numCache>
                <c:formatCode>General</c:formatCode>
                <c:ptCount val="4"/>
              </c:numCache>
            </c:numRef>
          </c:val>
          <c:smooth val="0"/>
          <c:extLst>
            <c:ext xmlns:c16="http://schemas.microsoft.com/office/drawing/2014/chart" uri="{C3380CC4-5D6E-409C-BE32-E72D297353CC}">
              <c16:uniqueId val="{0000000D-43A5-444A-A8AD-F7BEEF6295FB}"/>
            </c:ext>
          </c:extLst>
        </c:ser>
        <c:ser>
          <c:idx val="14"/>
          <c:order val="14"/>
          <c:tx>
            <c:strRef>
              <c:f>'White BP3 charts'!$Y$108</c:f>
              <c:strCache>
                <c:ptCount val="1"/>
                <c:pt idx="0">
                  <c:v>Queensland</c:v>
                </c:pt>
              </c:strCache>
            </c:strRef>
          </c:tx>
          <c:spPr>
            <a:ln w="28575" cap="rnd">
              <a:solidFill>
                <a:schemeClr val="accent3">
                  <a:lumMod val="80000"/>
                  <a:lumOff val="20000"/>
                </a:schemeClr>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charts'!$Y$111:$Y$114</c:f>
              <c:numCache>
                <c:formatCode>General</c:formatCode>
                <c:ptCount val="4"/>
              </c:numCache>
            </c:numRef>
          </c:val>
          <c:smooth val="0"/>
          <c:extLst>
            <c:ext xmlns:c16="http://schemas.microsoft.com/office/drawing/2014/chart" uri="{C3380CC4-5D6E-409C-BE32-E72D297353CC}">
              <c16:uniqueId val="{0000000E-43A5-444A-A8AD-F7BEEF6295FB}"/>
            </c:ext>
          </c:extLst>
        </c:ser>
        <c:ser>
          <c:idx val="15"/>
          <c:order val="15"/>
          <c:tx>
            <c:strRef>
              <c:f>'White BP3 charts'!$Z$108</c:f>
              <c:strCache>
                <c:ptCount val="1"/>
                <c:pt idx="0">
                  <c:v>South Australia</c:v>
                </c:pt>
              </c:strCache>
            </c:strRef>
          </c:tx>
          <c:spPr>
            <a:ln w="28575" cap="rnd">
              <a:solidFill>
                <a:srgbClr val="A50776"/>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charts'!$Z$111:$Z$114</c:f>
              <c:numCache>
                <c:formatCode>General</c:formatCode>
                <c:ptCount val="4"/>
                <c:pt idx="0">
                  <c:v>7.4</c:v>
                </c:pt>
                <c:pt idx="1">
                  <c:v>7.5</c:v>
                </c:pt>
                <c:pt idx="2">
                  <c:v>7.8</c:v>
                </c:pt>
                <c:pt idx="3">
                  <c:v>8.5</c:v>
                </c:pt>
              </c:numCache>
            </c:numRef>
          </c:val>
          <c:smooth val="0"/>
          <c:extLst>
            <c:ext xmlns:c16="http://schemas.microsoft.com/office/drawing/2014/chart" uri="{C3380CC4-5D6E-409C-BE32-E72D297353CC}">
              <c16:uniqueId val="{0000000F-43A5-444A-A8AD-F7BEEF6295FB}"/>
            </c:ext>
          </c:extLst>
        </c:ser>
        <c:ser>
          <c:idx val="16"/>
          <c:order val="16"/>
          <c:tx>
            <c:strRef>
              <c:f>'White BP3 charts'!$AA$108</c:f>
              <c:strCache>
                <c:ptCount val="1"/>
                <c:pt idx="0">
                  <c:v>South Australia</c:v>
                </c:pt>
              </c:strCache>
            </c:strRef>
          </c:tx>
          <c:spPr>
            <a:ln w="28575" cap="rnd">
              <a:solidFill>
                <a:schemeClr val="accent5">
                  <a:lumMod val="80000"/>
                  <a:lumOff val="20000"/>
                </a:schemeClr>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charts'!$AA$111:$AA$114</c:f>
              <c:numCache>
                <c:formatCode>General</c:formatCode>
                <c:ptCount val="4"/>
              </c:numCache>
            </c:numRef>
          </c:val>
          <c:smooth val="0"/>
          <c:extLst>
            <c:ext xmlns:c16="http://schemas.microsoft.com/office/drawing/2014/chart" uri="{C3380CC4-5D6E-409C-BE32-E72D297353CC}">
              <c16:uniqueId val="{00000010-43A5-444A-A8AD-F7BEEF6295FB}"/>
            </c:ext>
          </c:extLst>
        </c:ser>
        <c:ser>
          <c:idx val="17"/>
          <c:order val="17"/>
          <c:tx>
            <c:strRef>
              <c:f>'White BP3 charts'!$AB$108</c:f>
              <c:strCache>
                <c:ptCount val="1"/>
                <c:pt idx="0">
                  <c:v>South Australia</c:v>
                </c:pt>
              </c:strCache>
            </c:strRef>
          </c:tx>
          <c:spPr>
            <a:ln w="28575" cap="rnd">
              <a:solidFill>
                <a:schemeClr val="accent6">
                  <a:lumMod val="80000"/>
                  <a:lumOff val="20000"/>
                </a:schemeClr>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charts'!$AB$111:$AB$114</c:f>
              <c:numCache>
                <c:formatCode>General</c:formatCode>
                <c:ptCount val="4"/>
              </c:numCache>
            </c:numRef>
          </c:val>
          <c:smooth val="0"/>
          <c:extLst>
            <c:ext xmlns:c16="http://schemas.microsoft.com/office/drawing/2014/chart" uri="{C3380CC4-5D6E-409C-BE32-E72D297353CC}">
              <c16:uniqueId val="{00000011-43A5-444A-A8AD-F7BEEF6295FB}"/>
            </c:ext>
          </c:extLst>
        </c:ser>
        <c:ser>
          <c:idx val="18"/>
          <c:order val="18"/>
          <c:tx>
            <c:strRef>
              <c:f>'White BP3 charts'!$AC$108</c:f>
              <c:strCache>
                <c:ptCount val="1"/>
                <c:pt idx="0">
                  <c:v>Tasmania</c:v>
                </c:pt>
              </c:strCache>
            </c:strRef>
          </c:tx>
          <c:spPr>
            <a:ln w="28575" cap="rnd">
              <a:solidFill>
                <a:srgbClr val="B9BDBF"/>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charts'!$AC$111:$AC$114</c:f>
              <c:numCache>
                <c:formatCode>General</c:formatCode>
                <c:ptCount val="4"/>
                <c:pt idx="0">
                  <c:v>4.8</c:v>
                </c:pt>
                <c:pt idx="1">
                  <c:v>4.8</c:v>
                </c:pt>
                <c:pt idx="2">
                  <c:v>5.5</c:v>
                </c:pt>
                <c:pt idx="3">
                  <c:v>7</c:v>
                </c:pt>
              </c:numCache>
            </c:numRef>
          </c:val>
          <c:smooth val="0"/>
          <c:extLst>
            <c:ext xmlns:c16="http://schemas.microsoft.com/office/drawing/2014/chart" uri="{C3380CC4-5D6E-409C-BE32-E72D297353CC}">
              <c16:uniqueId val="{00000012-43A5-444A-A8AD-F7BEEF6295FB}"/>
            </c:ext>
          </c:extLst>
        </c:ser>
        <c:ser>
          <c:idx val="19"/>
          <c:order val="19"/>
          <c:tx>
            <c:strRef>
              <c:f>'White BP3 charts'!$AD$108</c:f>
              <c:strCache>
                <c:ptCount val="1"/>
                <c:pt idx="0">
                  <c:v>Tasmania</c:v>
                </c:pt>
              </c:strCache>
            </c:strRef>
          </c:tx>
          <c:spPr>
            <a:ln w="28575" cap="rnd">
              <a:solidFill>
                <a:schemeClr val="accent2">
                  <a:lumMod val="80000"/>
                </a:schemeClr>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charts'!$AD$111:$AD$114</c:f>
              <c:numCache>
                <c:formatCode>General</c:formatCode>
                <c:ptCount val="4"/>
              </c:numCache>
            </c:numRef>
          </c:val>
          <c:smooth val="0"/>
          <c:extLst>
            <c:ext xmlns:c16="http://schemas.microsoft.com/office/drawing/2014/chart" uri="{C3380CC4-5D6E-409C-BE32-E72D297353CC}">
              <c16:uniqueId val="{00000013-43A5-444A-A8AD-F7BEEF6295FB}"/>
            </c:ext>
          </c:extLst>
        </c:ser>
        <c:ser>
          <c:idx val="20"/>
          <c:order val="20"/>
          <c:tx>
            <c:strRef>
              <c:f>'White BP3 charts'!$AE$108</c:f>
              <c:strCache>
                <c:ptCount val="1"/>
                <c:pt idx="0">
                  <c:v>Tasmania</c:v>
                </c:pt>
              </c:strCache>
            </c:strRef>
          </c:tx>
          <c:spPr>
            <a:ln w="28575" cap="rnd">
              <a:solidFill>
                <a:schemeClr val="accent3">
                  <a:lumMod val="80000"/>
                </a:schemeClr>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charts'!$AE$111:$AE$114</c:f>
              <c:numCache>
                <c:formatCode>General</c:formatCode>
                <c:ptCount val="4"/>
              </c:numCache>
            </c:numRef>
          </c:val>
          <c:smooth val="0"/>
          <c:extLst>
            <c:ext xmlns:c16="http://schemas.microsoft.com/office/drawing/2014/chart" uri="{C3380CC4-5D6E-409C-BE32-E72D297353CC}">
              <c16:uniqueId val="{00000014-43A5-444A-A8AD-F7BEEF6295FB}"/>
            </c:ext>
          </c:extLst>
        </c:ser>
        <c:ser>
          <c:idx val="21"/>
          <c:order val="21"/>
          <c:tx>
            <c:strRef>
              <c:f>'White BP3 charts'!$AF$108</c:f>
              <c:strCache>
                <c:ptCount val="1"/>
                <c:pt idx="0">
                  <c:v>Victoria</c:v>
                </c:pt>
              </c:strCache>
            </c:strRef>
          </c:tx>
          <c:spPr>
            <a:ln w="28575" cap="rnd">
              <a:solidFill>
                <a:srgbClr val="4B5051"/>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charts'!$AF$111:$AF$114</c:f>
              <c:numCache>
                <c:formatCode>General</c:formatCode>
                <c:ptCount val="4"/>
                <c:pt idx="0">
                  <c:v>7.3</c:v>
                </c:pt>
                <c:pt idx="1">
                  <c:v>7.7</c:v>
                </c:pt>
                <c:pt idx="2">
                  <c:v>8.6</c:v>
                </c:pt>
                <c:pt idx="3">
                  <c:v>8.8000000000000007</c:v>
                </c:pt>
              </c:numCache>
            </c:numRef>
          </c:val>
          <c:smooth val="0"/>
          <c:extLst>
            <c:ext xmlns:c16="http://schemas.microsoft.com/office/drawing/2014/chart" uri="{C3380CC4-5D6E-409C-BE32-E72D297353CC}">
              <c16:uniqueId val="{00000015-43A5-444A-A8AD-F7BEEF6295FB}"/>
            </c:ext>
          </c:extLst>
        </c:ser>
        <c:ser>
          <c:idx val="22"/>
          <c:order val="22"/>
          <c:tx>
            <c:strRef>
              <c:f>'White BP3 charts'!$AG$108</c:f>
              <c:strCache>
                <c:ptCount val="1"/>
                <c:pt idx="0">
                  <c:v>Victoria</c:v>
                </c:pt>
              </c:strCache>
            </c:strRef>
          </c:tx>
          <c:spPr>
            <a:ln w="28575" cap="rnd">
              <a:solidFill>
                <a:schemeClr val="accent5">
                  <a:lumMod val="80000"/>
                </a:schemeClr>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charts'!$AG$111:$AG$114</c:f>
              <c:numCache>
                <c:formatCode>General</c:formatCode>
                <c:ptCount val="4"/>
              </c:numCache>
            </c:numRef>
          </c:val>
          <c:smooth val="0"/>
          <c:extLst>
            <c:ext xmlns:c16="http://schemas.microsoft.com/office/drawing/2014/chart" uri="{C3380CC4-5D6E-409C-BE32-E72D297353CC}">
              <c16:uniqueId val="{00000016-43A5-444A-A8AD-F7BEEF6295FB}"/>
            </c:ext>
          </c:extLst>
        </c:ser>
        <c:ser>
          <c:idx val="23"/>
          <c:order val="23"/>
          <c:tx>
            <c:strRef>
              <c:f>'White BP3 charts'!$AH$108</c:f>
              <c:strCache>
                <c:ptCount val="1"/>
                <c:pt idx="0">
                  <c:v>Victoria</c:v>
                </c:pt>
              </c:strCache>
            </c:strRef>
          </c:tx>
          <c:spPr>
            <a:ln w="28575" cap="rnd">
              <a:solidFill>
                <a:schemeClr val="accent6">
                  <a:lumMod val="80000"/>
                </a:schemeClr>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charts'!$AH$111:$AH$114</c:f>
              <c:numCache>
                <c:formatCode>General</c:formatCode>
                <c:ptCount val="4"/>
              </c:numCache>
            </c:numRef>
          </c:val>
          <c:smooth val="0"/>
          <c:extLst>
            <c:ext xmlns:c16="http://schemas.microsoft.com/office/drawing/2014/chart" uri="{C3380CC4-5D6E-409C-BE32-E72D297353CC}">
              <c16:uniqueId val="{00000017-43A5-444A-A8AD-F7BEEF6295FB}"/>
            </c:ext>
          </c:extLst>
        </c:ser>
        <c:ser>
          <c:idx val="24"/>
          <c:order val="24"/>
          <c:tx>
            <c:strRef>
              <c:f>'White BP3 charts'!$AI$108</c:f>
              <c:strCache>
                <c:ptCount val="1"/>
                <c:pt idx="0">
                  <c:v>Western Australia</c:v>
                </c:pt>
              </c:strCache>
            </c:strRef>
          </c:tx>
          <c:spPr>
            <a:ln w="28575" cap="rnd">
              <a:solidFill>
                <a:srgbClr val="F99D25"/>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charts'!$AI$111:$AI$114</c:f>
              <c:numCache>
                <c:formatCode>General</c:formatCode>
                <c:ptCount val="4"/>
                <c:pt idx="0">
                  <c:v>6.1</c:v>
                </c:pt>
                <c:pt idx="1">
                  <c:v>5.9</c:v>
                </c:pt>
                <c:pt idx="2">
                  <c:v>6.8</c:v>
                </c:pt>
                <c:pt idx="3">
                  <c:v>7.4</c:v>
                </c:pt>
              </c:numCache>
            </c:numRef>
          </c:val>
          <c:smooth val="0"/>
          <c:extLst>
            <c:ext xmlns:c16="http://schemas.microsoft.com/office/drawing/2014/chart" uri="{C3380CC4-5D6E-409C-BE32-E72D297353CC}">
              <c16:uniqueId val="{00000018-43A5-444A-A8AD-F7BEEF6295FB}"/>
            </c:ext>
          </c:extLst>
        </c:ser>
        <c:ser>
          <c:idx val="25"/>
          <c:order val="25"/>
          <c:tx>
            <c:strRef>
              <c:f>'White BP3 charts'!$AJ$108</c:f>
              <c:strCache>
                <c:ptCount val="1"/>
                <c:pt idx="0">
                  <c:v>Western Australia</c:v>
                </c:pt>
              </c:strCache>
            </c:strRef>
          </c:tx>
          <c:spPr>
            <a:ln w="28575" cap="rnd">
              <a:solidFill>
                <a:schemeClr val="accent2">
                  <a:lumMod val="60000"/>
                  <a:lumOff val="40000"/>
                </a:schemeClr>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charts'!$AJ$111:$AJ$114</c:f>
              <c:numCache>
                <c:formatCode>General</c:formatCode>
                <c:ptCount val="4"/>
              </c:numCache>
            </c:numRef>
          </c:val>
          <c:smooth val="0"/>
          <c:extLst>
            <c:ext xmlns:c16="http://schemas.microsoft.com/office/drawing/2014/chart" uri="{C3380CC4-5D6E-409C-BE32-E72D297353CC}">
              <c16:uniqueId val="{00000019-43A5-444A-A8AD-F7BEEF6295FB}"/>
            </c:ext>
          </c:extLst>
        </c:ser>
        <c:ser>
          <c:idx val="26"/>
          <c:order val="26"/>
          <c:tx>
            <c:strRef>
              <c:f>'White BP3 charts'!$AK$108</c:f>
              <c:strCache>
                <c:ptCount val="1"/>
                <c:pt idx="0">
                  <c:v>Western Australia</c:v>
                </c:pt>
              </c:strCache>
            </c:strRef>
          </c:tx>
          <c:spPr>
            <a:ln w="28575" cap="rnd">
              <a:solidFill>
                <a:schemeClr val="accent3">
                  <a:lumMod val="60000"/>
                  <a:lumOff val="40000"/>
                </a:schemeClr>
              </a:solidFill>
              <a:round/>
            </a:ln>
            <a:effectLst/>
          </c:spPr>
          <c:marker>
            <c:symbol val="none"/>
          </c:marker>
          <c:cat>
            <c:strRef>
              <c:f>'White BP3 charts'!$J$111:$J$114</c:f>
              <c:strCache>
                <c:ptCount val="4"/>
                <c:pt idx="0">
                  <c:v>2016-17
Actual</c:v>
                </c:pt>
                <c:pt idx="1">
                  <c:v>2017-18
Actual</c:v>
                </c:pt>
                <c:pt idx="2">
                  <c:v>2018-19
Actual</c:v>
                </c:pt>
                <c:pt idx="3">
                  <c:v>2019-20
Actual</c:v>
                </c:pt>
              </c:strCache>
            </c:strRef>
          </c:cat>
          <c:val>
            <c:numRef>
              <c:f>'White BP3 charts'!$AK$111:$AK$114</c:f>
              <c:numCache>
                <c:formatCode>General</c:formatCode>
                <c:ptCount val="4"/>
              </c:numCache>
            </c:numRef>
          </c:val>
          <c:smooth val="0"/>
          <c:extLst>
            <c:ext xmlns:c16="http://schemas.microsoft.com/office/drawing/2014/chart" uri="{C3380CC4-5D6E-409C-BE32-E72D297353CC}">
              <c16:uniqueId val="{0000001A-43A5-444A-A8AD-F7BEEF6295FB}"/>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Score</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egendEntry>
        <c:idx val="7"/>
        <c:delete val="1"/>
      </c:legendEntry>
      <c:legendEntry>
        <c:idx val="8"/>
        <c:delete val="1"/>
      </c:legendEntry>
      <c:legendEntry>
        <c:idx val="10"/>
        <c:delete val="1"/>
      </c:legendEntry>
      <c:legendEntry>
        <c:idx val="11"/>
        <c:delete val="1"/>
      </c:legendEntry>
      <c:legendEntry>
        <c:idx val="13"/>
        <c:delete val="1"/>
      </c:legendEntry>
      <c:legendEntry>
        <c:idx val="14"/>
        <c:delete val="1"/>
      </c:legendEntry>
      <c:legendEntry>
        <c:idx val="16"/>
        <c:delete val="1"/>
      </c:legendEntry>
      <c:legendEntry>
        <c:idx val="17"/>
        <c:delete val="1"/>
      </c:legendEntry>
      <c:legendEntry>
        <c:idx val="19"/>
        <c:delete val="1"/>
      </c:legendEntry>
      <c:legendEntry>
        <c:idx val="20"/>
        <c:delete val="1"/>
      </c:legendEntry>
      <c:legendEntry>
        <c:idx val="22"/>
        <c:delete val="1"/>
      </c:legendEntry>
      <c:legendEntry>
        <c:idx val="23"/>
        <c:delete val="1"/>
      </c:legendEntry>
      <c:legendEntry>
        <c:idx val="25"/>
        <c:delete val="1"/>
      </c:legendEntry>
      <c:legendEntry>
        <c:idx val="26"/>
        <c:delete val="1"/>
      </c:legendEntry>
      <c:layout>
        <c:manualLayout>
          <c:xMode val="edge"/>
          <c:yMode val="edge"/>
          <c:x val="3.7218189745825747E-2"/>
          <c:y val="0.85515583487843838"/>
          <c:w val="0.94708892251660726"/>
          <c:h val="0.14484416512156165"/>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charts'!$K$135</c:f>
              <c:strCache>
                <c:ptCount val="1"/>
                <c:pt idx="0">
                  <c:v>%</c:v>
                </c:pt>
              </c:strCache>
            </c:strRef>
          </c:tx>
          <c:spPr>
            <a:ln w="28575" cap="rnd">
              <a:solidFill>
                <a:srgbClr val="00426F"/>
              </a:solidFill>
              <a:round/>
            </a:ln>
            <a:effectLst/>
          </c:spPr>
          <c:marker>
            <c:symbol val="none"/>
          </c:marker>
          <c:cat>
            <c:strRef>
              <c:f>'Mauve BP3 charts'!$J$136:$J$141</c:f>
              <c:strCache>
                <c:ptCount val="6"/>
                <c:pt idx="0">
                  <c:v>2016-17
Actual</c:v>
                </c:pt>
                <c:pt idx="1">
                  <c:v>2017-18
Actual</c:v>
                </c:pt>
                <c:pt idx="2">
                  <c:v>2018-19
Actual</c:v>
                </c:pt>
                <c:pt idx="3">
                  <c:v>2019-20
Actual</c:v>
                </c:pt>
                <c:pt idx="4">
                  <c:v>2020-21
Forecast</c:v>
                </c:pt>
                <c:pt idx="5">
                  <c:v>2021-22
Target</c:v>
                </c:pt>
              </c:strCache>
            </c:strRef>
          </c:cat>
          <c:val>
            <c:numRef>
              <c:f>'Mauve BP3 charts'!$K$136:$K$141</c:f>
              <c:numCache>
                <c:formatCode>General</c:formatCode>
                <c:ptCount val="6"/>
                <c:pt idx="0">
                  <c:v>1.51</c:v>
                </c:pt>
                <c:pt idx="1">
                  <c:v>1.47</c:v>
                </c:pt>
                <c:pt idx="2">
                  <c:v>1.44</c:v>
                </c:pt>
                <c:pt idx="3">
                  <c:v>1.42</c:v>
                </c:pt>
              </c:numCache>
            </c:numRef>
          </c:val>
          <c:smooth val="0"/>
          <c:extLst>
            <c:ext xmlns:c16="http://schemas.microsoft.com/office/drawing/2014/chart" uri="{C3380CC4-5D6E-409C-BE32-E72D297353CC}">
              <c16:uniqueId val="{00000000-2221-4072-95D4-0438BA271566}"/>
            </c:ext>
          </c:extLst>
        </c:ser>
        <c:ser>
          <c:idx val="1"/>
          <c:order val="1"/>
          <c:tx>
            <c:strRef>
              <c:f>'Mauve BP3 charts'!$L$135</c:f>
              <c:strCache>
                <c:ptCount val="1"/>
                <c:pt idx="0">
                  <c:v>%</c:v>
                </c:pt>
              </c:strCache>
            </c:strRef>
          </c:tx>
          <c:spPr>
            <a:ln w="28575" cap="rnd">
              <a:solidFill>
                <a:srgbClr val="00426F"/>
              </a:solidFill>
              <a:prstDash val="dash"/>
              <a:round/>
            </a:ln>
            <a:effectLst/>
          </c:spPr>
          <c:marker>
            <c:symbol val="none"/>
          </c:marker>
          <c:cat>
            <c:strRef>
              <c:f>'Mauve BP3 charts'!$J$136:$J$141</c:f>
              <c:strCache>
                <c:ptCount val="6"/>
                <c:pt idx="0">
                  <c:v>2016-17
Actual</c:v>
                </c:pt>
                <c:pt idx="1">
                  <c:v>2017-18
Actual</c:v>
                </c:pt>
                <c:pt idx="2">
                  <c:v>2018-19
Actual</c:v>
                </c:pt>
                <c:pt idx="3">
                  <c:v>2019-20
Actual</c:v>
                </c:pt>
                <c:pt idx="4">
                  <c:v>2020-21
Forecast</c:v>
                </c:pt>
                <c:pt idx="5">
                  <c:v>2021-22
Target</c:v>
                </c:pt>
              </c:strCache>
            </c:strRef>
          </c:cat>
          <c:val>
            <c:numRef>
              <c:f>'Mauve BP3 charts'!$L$136:$L$141</c:f>
              <c:numCache>
                <c:formatCode>General</c:formatCode>
                <c:ptCount val="6"/>
                <c:pt idx="3">
                  <c:v>1.42</c:v>
                </c:pt>
                <c:pt idx="4">
                  <c:v>1.37</c:v>
                </c:pt>
              </c:numCache>
            </c:numRef>
          </c:val>
          <c:smooth val="0"/>
          <c:extLst>
            <c:ext xmlns:c16="http://schemas.microsoft.com/office/drawing/2014/chart" uri="{C3380CC4-5D6E-409C-BE32-E72D297353CC}">
              <c16:uniqueId val="{00000001-2221-4072-95D4-0438BA271566}"/>
            </c:ext>
          </c:extLst>
        </c:ser>
        <c:ser>
          <c:idx val="2"/>
          <c:order val="2"/>
          <c:tx>
            <c:strRef>
              <c:f>'Mauve BP3 charts'!$M$135</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charts'!$J$136:$J$141</c:f>
              <c:strCache>
                <c:ptCount val="6"/>
                <c:pt idx="0">
                  <c:v>2016-17
Actual</c:v>
                </c:pt>
                <c:pt idx="1">
                  <c:v>2017-18
Actual</c:v>
                </c:pt>
                <c:pt idx="2">
                  <c:v>2018-19
Actual</c:v>
                </c:pt>
                <c:pt idx="3">
                  <c:v>2019-20
Actual</c:v>
                </c:pt>
                <c:pt idx="4">
                  <c:v>2020-21
Forecast</c:v>
                </c:pt>
                <c:pt idx="5">
                  <c:v>2021-22
Target</c:v>
                </c:pt>
              </c:strCache>
            </c:strRef>
          </c:cat>
          <c:val>
            <c:numRef>
              <c:f>'Mauve BP3 charts'!$M$136:$M$141</c:f>
              <c:numCache>
                <c:formatCode>General</c:formatCode>
                <c:ptCount val="6"/>
                <c:pt idx="5">
                  <c:v>1.34</c:v>
                </c:pt>
              </c:numCache>
            </c:numRef>
          </c:val>
          <c:smooth val="0"/>
          <c:extLst>
            <c:ext xmlns:c16="http://schemas.microsoft.com/office/drawing/2014/chart" uri="{C3380CC4-5D6E-409C-BE32-E72D297353CC}">
              <c16:uniqueId val="{00000002-2221-4072-95D4-0438BA271566}"/>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Falaties per 100,000</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charts'!$K$167</c:f>
              <c:strCache>
                <c:ptCount val="1"/>
                <c:pt idx="0">
                  <c:v>%</c:v>
                </c:pt>
              </c:strCache>
            </c:strRef>
          </c:tx>
          <c:spPr>
            <a:ln w="28575" cap="rnd">
              <a:solidFill>
                <a:srgbClr val="00426F"/>
              </a:solidFill>
              <a:round/>
            </a:ln>
            <a:effectLst/>
          </c:spPr>
          <c:marker>
            <c:symbol val="none"/>
          </c:marker>
          <c:cat>
            <c:strRef>
              <c:f>'White BP3 charts'!$J$168:$J$172</c:f>
              <c:strCache>
                <c:ptCount val="5"/>
                <c:pt idx="0">
                  <c:v>2018-19
Actual</c:v>
                </c:pt>
                <c:pt idx="1">
                  <c:v>2019-20
Actual</c:v>
                </c:pt>
                <c:pt idx="2">
                  <c:v>2020-21
Forecast</c:v>
                </c:pt>
                <c:pt idx="3">
                  <c:v>2021-22</c:v>
                </c:pt>
                <c:pt idx="4">
                  <c:v>2022-23
Target</c:v>
                </c:pt>
              </c:strCache>
            </c:strRef>
          </c:cat>
          <c:val>
            <c:numRef>
              <c:f>'White BP3 charts'!$K$168:$K$172</c:f>
              <c:numCache>
                <c:formatCode>General</c:formatCode>
                <c:ptCount val="5"/>
                <c:pt idx="0">
                  <c:v>88.9</c:v>
                </c:pt>
                <c:pt idx="1">
                  <c:v>91</c:v>
                </c:pt>
              </c:numCache>
            </c:numRef>
          </c:val>
          <c:smooth val="0"/>
          <c:extLst>
            <c:ext xmlns:c16="http://schemas.microsoft.com/office/drawing/2014/chart" uri="{C3380CC4-5D6E-409C-BE32-E72D297353CC}">
              <c16:uniqueId val="{00000000-A75E-43F9-92B9-BCB86BE8D513}"/>
            </c:ext>
          </c:extLst>
        </c:ser>
        <c:ser>
          <c:idx val="1"/>
          <c:order val="1"/>
          <c:tx>
            <c:strRef>
              <c:f>'White BP3 charts'!$L$167</c:f>
              <c:strCache>
                <c:ptCount val="1"/>
                <c:pt idx="0">
                  <c:v>%</c:v>
                </c:pt>
              </c:strCache>
            </c:strRef>
          </c:tx>
          <c:spPr>
            <a:ln w="28575" cap="rnd">
              <a:solidFill>
                <a:srgbClr val="00426F"/>
              </a:solidFill>
              <a:prstDash val="dash"/>
              <a:round/>
            </a:ln>
            <a:effectLst/>
          </c:spPr>
          <c:marker>
            <c:symbol val="none"/>
          </c:marker>
          <c:cat>
            <c:strRef>
              <c:f>'White BP3 charts'!$J$168:$J$172</c:f>
              <c:strCache>
                <c:ptCount val="5"/>
                <c:pt idx="0">
                  <c:v>2018-19
Actual</c:v>
                </c:pt>
                <c:pt idx="1">
                  <c:v>2019-20
Actual</c:v>
                </c:pt>
                <c:pt idx="2">
                  <c:v>2020-21
Forecast</c:v>
                </c:pt>
                <c:pt idx="3">
                  <c:v>2021-22</c:v>
                </c:pt>
                <c:pt idx="4">
                  <c:v>2022-23
Target</c:v>
                </c:pt>
              </c:strCache>
            </c:strRef>
          </c:cat>
          <c:val>
            <c:numRef>
              <c:f>'White BP3 charts'!$L$168:$L$172</c:f>
              <c:numCache>
                <c:formatCode>General</c:formatCode>
                <c:ptCount val="5"/>
                <c:pt idx="1">
                  <c:v>91</c:v>
                </c:pt>
                <c:pt idx="2">
                  <c:v>91</c:v>
                </c:pt>
              </c:numCache>
            </c:numRef>
          </c:val>
          <c:smooth val="0"/>
          <c:extLst>
            <c:ext xmlns:c16="http://schemas.microsoft.com/office/drawing/2014/chart" uri="{C3380CC4-5D6E-409C-BE32-E72D297353CC}">
              <c16:uniqueId val="{00000001-A75E-43F9-92B9-BCB86BE8D513}"/>
            </c:ext>
          </c:extLst>
        </c:ser>
        <c:ser>
          <c:idx val="2"/>
          <c:order val="2"/>
          <c:tx>
            <c:strRef>
              <c:f>'White BP3 charts'!$M$167</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charts'!$J$168:$J$172</c:f>
              <c:strCache>
                <c:ptCount val="5"/>
                <c:pt idx="0">
                  <c:v>2018-19
Actual</c:v>
                </c:pt>
                <c:pt idx="1">
                  <c:v>2019-20
Actual</c:v>
                </c:pt>
                <c:pt idx="2">
                  <c:v>2020-21
Forecast</c:v>
                </c:pt>
                <c:pt idx="3">
                  <c:v>2021-22</c:v>
                </c:pt>
                <c:pt idx="4">
                  <c:v>2022-23
Target</c:v>
                </c:pt>
              </c:strCache>
            </c:strRef>
          </c:cat>
          <c:val>
            <c:numRef>
              <c:f>'White BP3 charts'!$M$168:$M$172</c:f>
              <c:numCache>
                <c:formatCode>General</c:formatCode>
                <c:ptCount val="5"/>
                <c:pt idx="4">
                  <c:v>90</c:v>
                </c:pt>
              </c:numCache>
            </c:numRef>
          </c:val>
          <c:smooth val="0"/>
          <c:extLst>
            <c:ext xmlns:c16="http://schemas.microsoft.com/office/drawing/2014/chart" uri="{C3380CC4-5D6E-409C-BE32-E72D297353CC}">
              <c16:uniqueId val="{00000002-A75E-43F9-92B9-BCB86BE8D513}"/>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ax val="100"/>
          <c:min val="8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Angela McIlwain</DisplayName>
        <AccountId>11</AccountId>
        <AccountType/>
      </UserInfo>
      <UserInfo>
        <DisplayName>Janette Semerdjian</DisplayName>
        <AccountId>15</AccountId>
        <AccountType/>
      </UserInfo>
      <UserInfo>
        <DisplayName>Tegan Tembe</DisplayName>
        <AccountId>17</AccountId>
        <AccountType/>
      </UserInfo>
      <UserInfo>
        <DisplayName>Anthony Di Natale</DisplayName>
        <AccountId>13</AccountId>
        <AccountType/>
      </UserInfo>
      <UserInfo>
        <DisplayName>Jillian Bordonada</DisplayName>
        <AccountId>16</AccountId>
        <AccountType/>
      </UserInfo>
    </SharedWithUsers>
    <_Flow_SignoffStatus xmlns="1c478e85-8130-4c67-8ee4-8bdf1c0e6049" xsi:nil="true"/>
  </documentManagement>
</p:properties>
</file>

<file path=customXml/item4.xml><?xml version="1.0" encoding="utf-8"?>
<metadata xmlns="http://www.objective.com/ecm/document/metadata/A8F43476EB784464BFCC994945052FE7" version="1.0.0">
  <systemFields>
    <field name="Objective-Id">
      <value order="0">A4329810</value>
    </field>
    <field name="Objective-Title">
      <value order="0">01 PRINTER FINAL  - Customer Service BP3 chapter</value>
    </field>
    <field name="Objective-Description">
      <value order="0"/>
    </field>
    <field name="Objective-CreationStamp">
      <value order="0">2019-06-07T23:05:00Z</value>
    </field>
    <field name="Objective-IsApproved">
      <value order="0">false</value>
    </field>
    <field name="Objective-IsPublished">
      <value order="0">false</value>
    </field>
    <field name="Objective-DatePublished">
      <value order="0"/>
    </field>
    <field name="Objective-ModificationStamp">
      <value order="0">2019-06-11T07:04:10Z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vA7634501</value>
    </field>
    <field name="Objective-Version">
      <value order="0">9.1</value>
    </field>
    <field name="Objective-VersionNumber">
      <value order="0">11</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F2563-312E-4BF0-B2C0-A9140D5DF8FA}">
  <ds:schemaRefs>
    <ds:schemaRef ds:uri="http://schemas.microsoft.com/sharepoint/v3/contenttype/forms"/>
  </ds:schemaRefs>
</ds:datastoreItem>
</file>

<file path=customXml/itemProps2.xml><?xml version="1.0" encoding="utf-8"?>
<ds:datastoreItem xmlns:ds="http://schemas.openxmlformats.org/officeDocument/2006/customXml" ds:itemID="{6F545E05-9F48-461C-A669-E08DAA0D1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47FF6-77EC-4111-AE40-0F1A8E5E4AE3}">
  <ds:schemaRefs>
    <ds:schemaRef ds:uri="http://schemas.microsoft.com/office/2006/metadata/properties"/>
    <ds:schemaRef ds:uri="http://schemas.microsoft.com/office/infopath/2007/PartnerControls"/>
    <ds:schemaRef ds:uri="801a5968-9419-4033-b9de-7ffe8168468e"/>
    <ds:schemaRef ds:uri="1c478e85-8130-4c67-8ee4-8bdf1c0e6049"/>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5D4FD107-272E-4262-9CEC-C82F8425F273}">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14.xml><?xml version="1.0" encoding="utf-8"?>
<clbl:labelList xmlns:clbl="http://schemas.microsoft.com/office/2020/mipLabelMetadata"/>
</file>

<file path=docMetadata/LabelInfo15.xml><?xml version="1.0" encoding="utf-8"?>
<clbl:labelList xmlns:clbl="http://schemas.microsoft.com/office/2020/mipLabelMetadata"/>
</file>

<file path=docMetadata/LabelInfo16.xml><?xml version="1.0" encoding="utf-8"?>
<clbl:labelList xmlns:clbl="http://schemas.microsoft.com/office/2020/mipLabelMetadata"/>
</file>

<file path=docMetadata/LabelInfo17.xml><?xml version="1.0" encoding="utf-8"?>
<clbl:labelList xmlns:clbl="http://schemas.microsoft.com/office/2020/mipLabelMetadata"/>
</file>

<file path=docMetadata/LabelInfo18.xml><?xml version="1.0" encoding="utf-8"?>
<clbl:labelList xmlns:clbl="http://schemas.microsoft.com/office/2020/mipLabelMetadata"/>
</file>

<file path=docMetadata/LabelInfo19.xml><?xml version="1.0" encoding="utf-8"?>
<clbl:labelList xmlns:clbl="http://schemas.microsoft.com/office/2020/mipLabelMetadata"/>
</file>

<file path=docMetadata/LabelInfo2.xml><?xml version="1.0" encoding="utf-8"?>
<clbl:labelList xmlns:clbl="http://schemas.microsoft.com/office/2020/mipLabelMetadata"/>
</file>

<file path=docMetadata/LabelInfo20.xml><?xml version="1.0" encoding="utf-8"?>
<clbl:labelList xmlns:clbl="http://schemas.microsoft.com/office/2020/mipLabelMetadata"/>
</file>

<file path=docMetadata/LabelInfo21.xml><?xml version="1.0" encoding="utf-8"?>
<clbl:labelList xmlns:clbl="http://schemas.microsoft.com/office/2020/mipLabelMetadata"/>
</file>

<file path=docMetadata/LabelInfo22.xml><?xml version="1.0" encoding="utf-8"?>
<clbl:labelList xmlns:clbl="http://schemas.microsoft.com/office/2020/mipLabelMetadata"/>
</file>

<file path=docMetadata/LabelInfo23.xml><?xml version="1.0" encoding="utf-8"?>
<clbl:labelList xmlns:clbl="http://schemas.microsoft.com/office/2020/mipLabelMetadata"/>
</file>

<file path=docMetadata/LabelInfo24.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163</TotalTime>
  <Pages>11</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2019-20 Budget - Budget Paper No. 3 - Budget Estimates -01 Customer Service cluster</vt:lpstr>
    </vt:vector>
  </TitlesOfParts>
  <Company>Department of Finance Services and Innovation</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 Budget Paper No. 2 - Outcomes Statements - 01 Customer Service Cluster</dc:title>
  <dc:subject/>
  <dc:creator>The Treasury</dc:creator>
  <cp:keywords>The Treasury</cp:keywords>
  <dc:description/>
  <cp:lastModifiedBy>Francess Lavorato</cp:lastModifiedBy>
  <cp:revision>385</cp:revision>
  <cp:lastPrinted>2019-06-25T15:59:00Z</cp:lastPrinted>
  <dcterms:created xsi:type="dcterms:W3CDTF">2020-11-10T07:44:00Z</dcterms:created>
  <dcterms:modified xsi:type="dcterms:W3CDTF">2020-11-13T23:00:00Z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Objective-Id">
    <vt:lpwstr>A4329810</vt:lpwstr>
  </property>
  <property fmtid="{D5CDD505-2E9C-101B-9397-08002B2CF9AE}" pid="4" name="Objective-Title">
    <vt:lpwstr>01 PRINTER FINAL  - Customer Service BP3 chapter</vt:lpwstr>
  </property>
  <property fmtid="{D5CDD505-2E9C-101B-9397-08002B2CF9AE}" pid="5" name="Objective-Description">
    <vt:lpwstr/>
  </property>
  <property fmtid="{D5CDD505-2E9C-101B-9397-08002B2CF9AE}" pid="6" name="Objective-CreationStamp">
    <vt:filetime>2019-06-10T05:28:58Z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2019-06-11T07:05:36Z</vt:filetime>
  </property>
  <property fmtid="{D5CDD505-2E9C-101B-9397-08002B2CF9AE}" pid="10" name="Objective-ModificationStamp">
    <vt:filetime>2019-06-11T07:05:36Z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Id">
    <vt:lpwstr>vA7634501</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T19/01520</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GIPA">
    <vt:lpwstr>No</vt:lpwstr>
  </property>
  <property fmtid="{D5CDD505-2E9C-101B-9397-08002B2CF9AE}" pid="26" name="Objective-Additional Search Tags">
    <vt:lpwstr/>
  </property>
  <property fmtid="{D5CDD505-2E9C-101B-9397-08002B2CF9AE}" pid="27" name="Objective-Comment">
    <vt:lpwstr/>
  </property>
  <property fmtid="{D5CDD505-2E9C-101B-9397-08002B2CF9AE}" pid="28" name="Objective-DLM [system]">
    <vt:lpwstr>No Impact</vt:lpwstr>
  </property>
  <property fmtid="{D5CDD505-2E9C-101B-9397-08002B2CF9AE}" pid="29" name="Objective-Security Classification [system]">
    <vt:lpwstr>UNCLASSIFIED</vt:lpwstr>
  </property>
  <property fmtid="{D5CDD505-2E9C-101B-9397-08002B2CF9AE}" pid="30" name="Objective-Vital Record [system]">
    <vt:lpwstr>No</vt:lpwstr>
  </property>
  <property fmtid="{D5CDD505-2E9C-101B-9397-08002B2CF9AE}" pid="31" name="Objective-GIPA [system]">
    <vt:lpwstr>No</vt:lpwstr>
  </property>
  <property fmtid="{D5CDD505-2E9C-101B-9397-08002B2CF9AE}" pid="32" name="Objective-Additional Search Tags [system]">
    <vt:lpwstr/>
  </property>
</Properties>
</file>